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AD2" w:rsidRPr="00F82C98" w:rsidRDefault="00375AD2" w:rsidP="00F82C98">
      <w:pPr>
        <w:spacing w:after="0" w:line="240" w:lineRule="auto"/>
        <w:rPr>
          <w:rFonts w:ascii="Times New Roman" w:hAnsi="Times New Roman" w:cs="Times New Roman"/>
          <w:sz w:val="24"/>
          <w:szCs w:val="24"/>
        </w:rPr>
      </w:pPr>
      <w:bookmarkStart w:id="0" w:name="_Toc64790014"/>
      <w:bookmarkStart w:id="1" w:name="_Toc188859389"/>
      <w:bookmarkStart w:id="2" w:name="_Toc316980810"/>
    </w:p>
    <w:p w:rsidR="00375AD2" w:rsidRPr="00F82C98" w:rsidRDefault="00B65509" w:rsidP="00F82C98">
      <w:pPr>
        <w:pStyle w:val="Sangradetextonormal"/>
        <w:jc w:val="both"/>
        <w:rPr>
          <w:rFonts w:cs="Times New Roman"/>
          <w:b/>
          <w:bCs/>
        </w:rPr>
      </w:pPr>
      <w:r>
        <w:rPr>
          <w:rFonts w:ascii="Times New Roman" w:hAnsi="Times New Roman" w:cs="Times New Roman"/>
          <w:b/>
          <w:bCs/>
          <w:sz w:val="32"/>
          <w:szCs w:val="32"/>
        </w:rPr>
        <w:t>Breves comentarios a la</w:t>
      </w:r>
      <w:r w:rsidR="00375AD2" w:rsidRPr="00F82C98">
        <w:rPr>
          <w:rFonts w:ascii="Times New Roman" w:hAnsi="Times New Roman" w:cs="Times New Roman"/>
          <w:b/>
          <w:bCs/>
          <w:sz w:val="32"/>
          <w:szCs w:val="32"/>
        </w:rPr>
        <w:t xml:space="preserve"> Ley de Presupuestos Generales del Estado para 201</w:t>
      </w:r>
      <w:r w:rsidR="00375AD2">
        <w:rPr>
          <w:rFonts w:ascii="Times New Roman" w:hAnsi="Times New Roman" w:cs="Times New Roman"/>
          <w:b/>
          <w:bCs/>
          <w:sz w:val="32"/>
          <w:szCs w:val="32"/>
        </w:rPr>
        <w:t>6</w:t>
      </w:r>
    </w:p>
    <w:p w:rsidR="00375AD2" w:rsidRPr="00334D24" w:rsidRDefault="00375AD2" w:rsidP="0057141F">
      <w:pPr>
        <w:pStyle w:val="Sangradetextonormal"/>
        <w:tabs>
          <w:tab w:val="num" w:pos="720"/>
        </w:tabs>
        <w:ind w:left="0"/>
        <w:rPr>
          <w:rFonts w:cs="Times New Roman"/>
          <w:b/>
          <w:bCs/>
        </w:rPr>
      </w:pPr>
    </w:p>
    <w:p w:rsidR="00375AD2" w:rsidRPr="00F53592" w:rsidRDefault="00375AD2" w:rsidP="00FB2EC2">
      <w:pPr>
        <w:pStyle w:val="Sangradetextonormal"/>
        <w:tabs>
          <w:tab w:val="num" w:pos="426"/>
        </w:tabs>
        <w:ind w:left="720" w:hanging="720"/>
        <w:jc w:val="both"/>
        <w:rPr>
          <w:rFonts w:ascii="Times New Roman" w:hAnsi="Times New Roman" w:cs="Times New Roman"/>
          <w:b/>
          <w:bCs/>
          <w:sz w:val="28"/>
          <w:szCs w:val="28"/>
        </w:rPr>
      </w:pPr>
      <w:r w:rsidRPr="00F53592">
        <w:rPr>
          <w:rFonts w:ascii="Times New Roman" w:hAnsi="Times New Roman" w:cs="Times New Roman"/>
          <w:b/>
          <w:bCs/>
          <w:sz w:val="28"/>
          <w:szCs w:val="28"/>
        </w:rPr>
        <w:t>0.</w:t>
      </w:r>
      <w:r w:rsidRPr="00F53592">
        <w:rPr>
          <w:rFonts w:ascii="Times New Roman" w:hAnsi="Times New Roman" w:cs="Times New Roman"/>
          <w:b/>
          <w:bCs/>
          <w:sz w:val="28"/>
          <w:szCs w:val="28"/>
        </w:rPr>
        <w:tab/>
        <w:t>Introducción</w:t>
      </w:r>
    </w:p>
    <w:p w:rsidR="00375AD2" w:rsidRPr="00334D24" w:rsidRDefault="00375AD2" w:rsidP="0057141F">
      <w:pPr>
        <w:pStyle w:val="Sangradetextonormal"/>
        <w:tabs>
          <w:tab w:val="num" w:pos="720"/>
        </w:tabs>
        <w:jc w:val="both"/>
        <w:rPr>
          <w:rFonts w:cs="Times New Roman"/>
          <w:b/>
          <w:bCs/>
        </w:rPr>
      </w:pPr>
    </w:p>
    <w:p w:rsidR="00375AD2" w:rsidRPr="00F53592" w:rsidRDefault="00B65509" w:rsidP="00CC663D">
      <w:pPr>
        <w:pStyle w:val="Sangradetextonormal"/>
        <w:tabs>
          <w:tab w:val="num" w:pos="720"/>
        </w:tabs>
        <w:ind w:left="0"/>
        <w:jc w:val="both"/>
        <w:rPr>
          <w:rFonts w:ascii="Times New Roman" w:hAnsi="Times New Roman" w:cs="Times New Roman"/>
          <w:sz w:val="24"/>
          <w:szCs w:val="24"/>
        </w:rPr>
      </w:pPr>
      <w:r>
        <w:rPr>
          <w:rFonts w:ascii="Times New Roman" w:hAnsi="Times New Roman" w:cs="Times New Roman"/>
          <w:sz w:val="24"/>
          <w:szCs w:val="24"/>
        </w:rPr>
        <w:t>Hoy se ha publicado en el Boletín Oficial del Estado la Ley</w:t>
      </w:r>
      <w:r w:rsidR="00CC663D">
        <w:rPr>
          <w:rFonts w:ascii="Times New Roman" w:hAnsi="Times New Roman" w:cs="Times New Roman"/>
          <w:sz w:val="24"/>
          <w:szCs w:val="24"/>
        </w:rPr>
        <w:t xml:space="preserve"> 48/2015, de 29 de octubre,</w:t>
      </w:r>
      <w:r>
        <w:rPr>
          <w:rFonts w:ascii="Times New Roman" w:hAnsi="Times New Roman" w:cs="Times New Roman"/>
          <w:sz w:val="24"/>
          <w:szCs w:val="24"/>
        </w:rPr>
        <w:t xml:space="preserve"> de Presupuestos Generales del Estado para 2016</w:t>
      </w:r>
      <w:r w:rsidR="00CC663D">
        <w:rPr>
          <w:rFonts w:ascii="Times New Roman" w:hAnsi="Times New Roman" w:cs="Times New Roman"/>
          <w:sz w:val="24"/>
          <w:szCs w:val="24"/>
        </w:rPr>
        <w:t xml:space="preserve">. </w:t>
      </w:r>
      <w:r>
        <w:rPr>
          <w:rFonts w:ascii="Times New Roman" w:hAnsi="Times New Roman" w:cs="Times New Roman"/>
          <w:sz w:val="24"/>
          <w:szCs w:val="24"/>
        </w:rPr>
        <w:t>Aunque estábamos acostumbrados a que</w:t>
      </w:r>
      <w:r w:rsidR="00574D38">
        <w:rPr>
          <w:rFonts w:ascii="Times New Roman" w:hAnsi="Times New Roman" w:cs="Times New Roman"/>
          <w:sz w:val="24"/>
          <w:szCs w:val="24"/>
        </w:rPr>
        <w:t xml:space="preserve"> esta norma</w:t>
      </w:r>
      <w:r>
        <w:rPr>
          <w:rFonts w:ascii="Times New Roman" w:hAnsi="Times New Roman" w:cs="Times New Roman"/>
          <w:sz w:val="24"/>
          <w:szCs w:val="24"/>
        </w:rPr>
        <w:t xml:space="preserve"> se publicara a finales de año, se adelanta esta vez al mes de octubre a consecuencia de las elecciones generales que se celebrarán en el mes de diciembre.</w:t>
      </w:r>
    </w:p>
    <w:p w:rsidR="00375AD2" w:rsidRPr="00F53592" w:rsidRDefault="00375AD2" w:rsidP="0057141F">
      <w:pPr>
        <w:pStyle w:val="Sangradetextonormal"/>
        <w:tabs>
          <w:tab w:val="num" w:pos="720"/>
        </w:tabs>
        <w:ind w:left="0"/>
        <w:jc w:val="both"/>
        <w:rPr>
          <w:rFonts w:ascii="Times New Roman" w:hAnsi="Times New Roman" w:cs="Times New Roman"/>
          <w:sz w:val="24"/>
          <w:szCs w:val="24"/>
        </w:rPr>
      </w:pPr>
      <w:r w:rsidRPr="00F53592">
        <w:rPr>
          <w:rFonts w:ascii="Times New Roman" w:hAnsi="Times New Roman" w:cs="Times New Roman"/>
          <w:sz w:val="24"/>
          <w:szCs w:val="24"/>
        </w:rPr>
        <w:t xml:space="preserve">Al texto íntegro podéis acceder desde </w:t>
      </w:r>
      <w:hyperlink r:id="rId8" w:history="1">
        <w:r w:rsidR="00B16744" w:rsidRPr="00EB1D35">
          <w:rPr>
            <w:rStyle w:val="Hipervnculo"/>
            <w:rFonts w:ascii="Times New Roman" w:hAnsi="Times New Roman" w:cs="Times New Roman"/>
            <w:sz w:val="24"/>
            <w:szCs w:val="24"/>
          </w:rPr>
          <w:t>www.reaf-regaf.economistas.es</w:t>
        </w:r>
      </w:hyperlink>
      <w:r w:rsidRPr="00F53592">
        <w:rPr>
          <w:rFonts w:ascii="Times New Roman" w:hAnsi="Times New Roman" w:cs="Times New Roman"/>
          <w:sz w:val="24"/>
          <w:szCs w:val="24"/>
        </w:rPr>
        <w:t>,</w:t>
      </w:r>
      <w:r w:rsidR="00B16744">
        <w:rPr>
          <w:rFonts w:ascii="Times New Roman" w:hAnsi="Times New Roman" w:cs="Times New Roman"/>
          <w:sz w:val="24"/>
          <w:szCs w:val="24"/>
        </w:rPr>
        <w:t xml:space="preserve"> entrando en el</w:t>
      </w:r>
      <w:r w:rsidRPr="00F53592">
        <w:rPr>
          <w:rFonts w:ascii="Times New Roman" w:hAnsi="Times New Roman" w:cs="Times New Roman"/>
          <w:sz w:val="24"/>
          <w:szCs w:val="24"/>
        </w:rPr>
        <w:t xml:space="preserve"> apartado </w:t>
      </w:r>
      <w:r w:rsidR="00B65509">
        <w:rPr>
          <w:rFonts w:ascii="Times New Roman" w:hAnsi="Times New Roman" w:cs="Times New Roman"/>
          <w:sz w:val="24"/>
          <w:szCs w:val="24"/>
        </w:rPr>
        <w:t>de normativa estatal</w:t>
      </w:r>
      <w:r w:rsidRPr="00F53592">
        <w:rPr>
          <w:rFonts w:ascii="Times New Roman" w:hAnsi="Times New Roman" w:cs="Times New Roman"/>
          <w:sz w:val="24"/>
          <w:szCs w:val="24"/>
        </w:rPr>
        <w:t>.</w:t>
      </w:r>
    </w:p>
    <w:p w:rsidR="00375AD2" w:rsidRDefault="00375AD2" w:rsidP="0057141F">
      <w:pPr>
        <w:pStyle w:val="Sangradetextonormal"/>
        <w:tabs>
          <w:tab w:val="num" w:pos="720"/>
        </w:tabs>
        <w:jc w:val="both"/>
        <w:rPr>
          <w:rFonts w:cs="Times New Roman"/>
          <w:b/>
          <w:bCs/>
        </w:rPr>
      </w:pPr>
    </w:p>
    <w:p w:rsidR="00B65509" w:rsidRDefault="00B65509" w:rsidP="00FB2EC2">
      <w:pPr>
        <w:pStyle w:val="Sangradetextonormal"/>
        <w:numPr>
          <w:ilvl w:val="0"/>
          <w:numId w:val="22"/>
        </w:numPr>
        <w:tabs>
          <w:tab w:val="num" w:pos="1440"/>
        </w:tabs>
        <w:spacing w:after="0" w:line="240" w:lineRule="auto"/>
        <w:ind w:left="284" w:hanging="426"/>
        <w:jc w:val="both"/>
        <w:rPr>
          <w:rFonts w:ascii="Times New Roman" w:hAnsi="Times New Roman" w:cs="Times New Roman"/>
          <w:b/>
          <w:bCs/>
          <w:sz w:val="28"/>
          <w:szCs w:val="28"/>
        </w:rPr>
      </w:pPr>
      <w:r>
        <w:rPr>
          <w:rFonts w:ascii="Times New Roman" w:hAnsi="Times New Roman" w:cs="Times New Roman"/>
          <w:b/>
          <w:bCs/>
          <w:sz w:val="28"/>
          <w:szCs w:val="28"/>
        </w:rPr>
        <w:t>Impuesto sobre la Renta de las Personas Físicas</w:t>
      </w:r>
    </w:p>
    <w:p w:rsidR="00B65509" w:rsidRDefault="00B65509" w:rsidP="00B65509">
      <w:pPr>
        <w:pStyle w:val="Sangradetextonormal"/>
        <w:tabs>
          <w:tab w:val="num" w:pos="1440"/>
        </w:tabs>
        <w:spacing w:after="0" w:line="240" w:lineRule="auto"/>
        <w:jc w:val="both"/>
        <w:rPr>
          <w:rFonts w:ascii="Times New Roman" w:hAnsi="Times New Roman" w:cs="Times New Roman"/>
          <w:b/>
          <w:bCs/>
          <w:sz w:val="28"/>
          <w:szCs w:val="28"/>
        </w:rPr>
      </w:pPr>
    </w:p>
    <w:p w:rsidR="00B65509" w:rsidRDefault="00B65509" w:rsidP="00CC663D">
      <w:pPr>
        <w:pStyle w:val="Sangradetextonormal"/>
        <w:numPr>
          <w:ilvl w:val="0"/>
          <w:numId w:val="20"/>
        </w:numPr>
        <w:spacing w:after="0" w:line="240" w:lineRule="auto"/>
        <w:ind w:left="284" w:hanging="284"/>
        <w:jc w:val="both"/>
        <w:rPr>
          <w:rFonts w:ascii="Times New Roman" w:hAnsi="Times New Roman" w:cs="Times New Roman"/>
          <w:bCs/>
          <w:sz w:val="24"/>
          <w:szCs w:val="28"/>
          <w:u w:val="single"/>
        </w:rPr>
      </w:pPr>
      <w:r>
        <w:rPr>
          <w:rFonts w:ascii="Times New Roman" w:hAnsi="Times New Roman" w:cs="Times New Roman"/>
          <w:bCs/>
          <w:sz w:val="24"/>
          <w:szCs w:val="28"/>
          <w:u w:val="single"/>
        </w:rPr>
        <w:t>Estimación directa: p</w:t>
      </w:r>
      <w:r w:rsidRPr="00B65509">
        <w:rPr>
          <w:rFonts w:ascii="Times New Roman" w:hAnsi="Times New Roman" w:cs="Times New Roman"/>
          <w:bCs/>
          <w:sz w:val="24"/>
          <w:szCs w:val="28"/>
          <w:u w:val="single"/>
        </w:rPr>
        <w:t>rimas de seguro de enfermedad</w:t>
      </w:r>
    </w:p>
    <w:p w:rsidR="00B65509" w:rsidRDefault="00B65509" w:rsidP="00B65509">
      <w:pPr>
        <w:pStyle w:val="Sangradetextonormal"/>
        <w:tabs>
          <w:tab w:val="num" w:pos="1440"/>
        </w:tabs>
        <w:spacing w:after="0" w:line="240" w:lineRule="auto"/>
        <w:jc w:val="both"/>
        <w:rPr>
          <w:rFonts w:ascii="Times New Roman" w:hAnsi="Times New Roman" w:cs="Times New Roman"/>
          <w:bCs/>
          <w:sz w:val="24"/>
          <w:szCs w:val="28"/>
          <w:u w:val="single"/>
        </w:rPr>
      </w:pPr>
    </w:p>
    <w:p w:rsidR="00B65509" w:rsidRDefault="00B65509" w:rsidP="00B65509">
      <w:pPr>
        <w:pStyle w:val="Sangradetextonormal"/>
        <w:tabs>
          <w:tab w:val="num" w:pos="1440"/>
        </w:tabs>
        <w:spacing w:after="0" w:line="240" w:lineRule="auto"/>
        <w:jc w:val="both"/>
        <w:rPr>
          <w:rFonts w:ascii="Times New Roman" w:hAnsi="Times New Roman" w:cs="Times New Roman"/>
          <w:bCs/>
          <w:sz w:val="24"/>
          <w:szCs w:val="28"/>
        </w:rPr>
      </w:pPr>
      <w:r>
        <w:rPr>
          <w:rFonts w:ascii="Times New Roman" w:hAnsi="Times New Roman" w:cs="Times New Roman"/>
          <w:bCs/>
          <w:sz w:val="24"/>
          <w:szCs w:val="28"/>
        </w:rPr>
        <w:t>A partir de enero de 2016 los contribuyentes que determinen el rendimiento de sus actividades económicas por el régimen de estimación directa podrán deducir como máximo 1.500€ por las primas de seguro que cubran la enfermedad del propio contribuyente, la de su cónyuge e hijos me</w:t>
      </w:r>
      <w:r w:rsidR="00BB0A6A">
        <w:rPr>
          <w:rFonts w:ascii="Times New Roman" w:hAnsi="Times New Roman" w:cs="Times New Roman"/>
          <w:bCs/>
          <w:sz w:val="24"/>
          <w:szCs w:val="28"/>
        </w:rPr>
        <w:t>nores de 25 años en caso</w:t>
      </w:r>
      <w:r>
        <w:rPr>
          <w:rFonts w:ascii="Times New Roman" w:hAnsi="Times New Roman" w:cs="Times New Roman"/>
          <w:bCs/>
          <w:sz w:val="24"/>
          <w:szCs w:val="28"/>
        </w:rPr>
        <w:t xml:space="preserve"> de</w:t>
      </w:r>
      <w:r w:rsidR="00BB0A6A">
        <w:rPr>
          <w:rFonts w:ascii="Times New Roman" w:hAnsi="Times New Roman" w:cs="Times New Roman"/>
          <w:bCs/>
          <w:sz w:val="24"/>
          <w:szCs w:val="28"/>
        </w:rPr>
        <w:t xml:space="preserve"> ser discapacitadas</w:t>
      </w:r>
      <w:r>
        <w:rPr>
          <w:rFonts w:ascii="Times New Roman" w:hAnsi="Times New Roman" w:cs="Times New Roman"/>
          <w:bCs/>
          <w:sz w:val="24"/>
          <w:szCs w:val="28"/>
        </w:rPr>
        <w:t>. Este límite es individual por cada una de las personas citadas.</w:t>
      </w:r>
      <w:r w:rsidR="004A2444">
        <w:rPr>
          <w:rFonts w:ascii="Times New Roman" w:hAnsi="Times New Roman" w:cs="Times New Roman"/>
          <w:bCs/>
          <w:sz w:val="24"/>
          <w:szCs w:val="28"/>
        </w:rPr>
        <w:t xml:space="preserve"> En caso de no tener discapacidad el límite es el que ya se regulaba de 500€ por persona.</w:t>
      </w:r>
    </w:p>
    <w:p w:rsidR="004A2444" w:rsidRPr="004A2444" w:rsidRDefault="004A2444" w:rsidP="00B65509">
      <w:pPr>
        <w:pStyle w:val="Sangradetextonormal"/>
        <w:tabs>
          <w:tab w:val="num" w:pos="1440"/>
        </w:tabs>
        <w:spacing w:after="0" w:line="240" w:lineRule="auto"/>
        <w:jc w:val="both"/>
        <w:rPr>
          <w:rFonts w:ascii="Times New Roman" w:hAnsi="Times New Roman" w:cs="Times New Roman"/>
          <w:bCs/>
          <w:sz w:val="32"/>
          <w:szCs w:val="28"/>
        </w:rPr>
      </w:pPr>
    </w:p>
    <w:p w:rsidR="004A2444" w:rsidRDefault="004A2444" w:rsidP="00CC663D">
      <w:pPr>
        <w:pStyle w:val="Sangradetextonormal"/>
        <w:numPr>
          <w:ilvl w:val="0"/>
          <w:numId w:val="20"/>
        </w:numPr>
        <w:spacing w:after="0" w:line="240" w:lineRule="auto"/>
        <w:ind w:left="284" w:hanging="284"/>
        <w:jc w:val="both"/>
        <w:rPr>
          <w:rFonts w:ascii="Times New Roman" w:hAnsi="Times New Roman" w:cs="Times New Roman"/>
          <w:bCs/>
          <w:sz w:val="24"/>
          <w:szCs w:val="28"/>
          <w:u w:val="single"/>
        </w:rPr>
      </w:pPr>
      <w:r>
        <w:rPr>
          <w:rFonts w:ascii="Times New Roman" w:hAnsi="Times New Roman" w:cs="Times New Roman"/>
          <w:bCs/>
          <w:sz w:val="24"/>
          <w:szCs w:val="28"/>
          <w:u w:val="single"/>
        </w:rPr>
        <w:t>Rentas en especie: primas de seguro de enfermedad</w:t>
      </w:r>
    </w:p>
    <w:p w:rsidR="004A2444" w:rsidRDefault="004A2444" w:rsidP="004A2444">
      <w:pPr>
        <w:pStyle w:val="Sangradetextonormal"/>
        <w:tabs>
          <w:tab w:val="num" w:pos="1440"/>
        </w:tabs>
        <w:spacing w:after="0" w:line="240" w:lineRule="auto"/>
        <w:jc w:val="both"/>
        <w:rPr>
          <w:rFonts w:ascii="Times New Roman" w:hAnsi="Times New Roman" w:cs="Times New Roman"/>
          <w:bCs/>
          <w:sz w:val="24"/>
          <w:szCs w:val="28"/>
          <w:u w:val="single"/>
        </w:rPr>
      </w:pPr>
    </w:p>
    <w:p w:rsidR="004A2444" w:rsidRDefault="004A2444" w:rsidP="004A2444">
      <w:pPr>
        <w:pStyle w:val="Sangradetextonormal"/>
        <w:tabs>
          <w:tab w:val="num" w:pos="1440"/>
        </w:tabs>
        <w:spacing w:after="0" w:line="240" w:lineRule="auto"/>
        <w:jc w:val="both"/>
        <w:rPr>
          <w:rFonts w:ascii="Times New Roman" w:hAnsi="Times New Roman" w:cs="Times New Roman"/>
          <w:bCs/>
          <w:sz w:val="24"/>
          <w:szCs w:val="28"/>
        </w:rPr>
      </w:pPr>
      <w:r>
        <w:rPr>
          <w:rFonts w:ascii="Times New Roman" w:hAnsi="Times New Roman" w:cs="Times New Roman"/>
          <w:bCs/>
          <w:sz w:val="24"/>
          <w:szCs w:val="28"/>
        </w:rPr>
        <w:t>A partir de enero de 2016 no se considera renta en especie las primas</w:t>
      </w:r>
      <w:r w:rsidR="00385F2B">
        <w:rPr>
          <w:rFonts w:ascii="Times New Roman" w:hAnsi="Times New Roman" w:cs="Times New Roman"/>
          <w:bCs/>
          <w:sz w:val="24"/>
          <w:szCs w:val="28"/>
        </w:rPr>
        <w:t xml:space="preserve"> satisfechas por la empresa</w:t>
      </w:r>
      <w:r>
        <w:rPr>
          <w:rFonts w:ascii="Times New Roman" w:hAnsi="Times New Roman" w:cs="Times New Roman"/>
          <w:bCs/>
          <w:sz w:val="24"/>
          <w:szCs w:val="28"/>
        </w:rPr>
        <w:t>, hasta un importe máximo de 1.500€, a entidades aseguradoras que cubran la enfermedad del propio contribuyente, la de su cónyuge e hijos menores de 25 años en caso de ser discapacitadas. Este límite es individual por cada una de las personas citadas. En caso de</w:t>
      </w:r>
      <w:r w:rsidR="00EF44AA">
        <w:rPr>
          <w:rFonts w:ascii="Times New Roman" w:hAnsi="Times New Roman" w:cs="Times New Roman"/>
          <w:bCs/>
          <w:sz w:val="24"/>
          <w:szCs w:val="28"/>
        </w:rPr>
        <w:t xml:space="preserve"> no tener discapacidad la renta que no se considera en especie</w:t>
      </w:r>
      <w:r>
        <w:rPr>
          <w:rFonts w:ascii="Times New Roman" w:hAnsi="Times New Roman" w:cs="Times New Roman"/>
          <w:bCs/>
          <w:sz w:val="24"/>
          <w:szCs w:val="28"/>
        </w:rPr>
        <w:t xml:space="preserve"> es el que ya se regulaba de 500€ por persona.</w:t>
      </w:r>
    </w:p>
    <w:p w:rsidR="00574D38" w:rsidRPr="00574D38" w:rsidRDefault="00574D38" w:rsidP="004A2444">
      <w:pPr>
        <w:pStyle w:val="Sangradetextonormal"/>
        <w:tabs>
          <w:tab w:val="num" w:pos="1440"/>
        </w:tabs>
        <w:spacing w:after="0" w:line="240" w:lineRule="auto"/>
        <w:jc w:val="both"/>
        <w:rPr>
          <w:rFonts w:ascii="Times New Roman" w:hAnsi="Times New Roman" w:cs="Times New Roman"/>
          <w:bCs/>
          <w:sz w:val="32"/>
          <w:szCs w:val="28"/>
        </w:rPr>
      </w:pPr>
    </w:p>
    <w:p w:rsidR="00574D38" w:rsidRDefault="00574D38" w:rsidP="00CC663D">
      <w:pPr>
        <w:pStyle w:val="Sangradetextonormal"/>
        <w:numPr>
          <w:ilvl w:val="0"/>
          <w:numId w:val="20"/>
        </w:numPr>
        <w:spacing w:after="0" w:line="240" w:lineRule="auto"/>
        <w:ind w:left="284" w:hanging="284"/>
        <w:jc w:val="both"/>
        <w:rPr>
          <w:rFonts w:ascii="Times New Roman" w:hAnsi="Times New Roman" w:cs="Times New Roman"/>
          <w:bCs/>
          <w:sz w:val="24"/>
          <w:szCs w:val="28"/>
          <w:u w:val="single"/>
        </w:rPr>
      </w:pPr>
      <w:r>
        <w:rPr>
          <w:rFonts w:ascii="Times New Roman" w:hAnsi="Times New Roman" w:cs="Times New Roman"/>
          <w:bCs/>
          <w:sz w:val="24"/>
          <w:szCs w:val="28"/>
          <w:u w:val="single"/>
        </w:rPr>
        <w:t>Límites para la aplicación del método de estimación objetiva para 2016 y 2017</w:t>
      </w:r>
    </w:p>
    <w:p w:rsidR="00574D38" w:rsidRDefault="00574D38" w:rsidP="00574D38">
      <w:pPr>
        <w:pStyle w:val="Sangradetextonormal"/>
        <w:tabs>
          <w:tab w:val="num" w:pos="1440"/>
        </w:tabs>
        <w:spacing w:after="0" w:line="240" w:lineRule="auto"/>
        <w:jc w:val="both"/>
        <w:rPr>
          <w:rFonts w:ascii="Times New Roman" w:hAnsi="Times New Roman" w:cs="Times New Roman"/>
          <w:bCs/>
          <w:sz w:val="24"/>
          <w:szCs w:val="28"/>
          <w:u w:val="single"/>
        </w:rPr>
      </w:pPr>
    </w:p>
    <w:p w:rsidR="00574D38" w:rsidRDefault="00574D38" w:rsidP="00574D38">
      <w:pPr>
        <w:pStyle w:val="Sangradetextonormal"/>
        <w:tabs>
          <w:tab w:val="num" w:pos="1440"/>
        </w:tabs>
        <w:spacing w:after="0" w:line="240" w:lineRule="auto"/>
        <w:jc w:val="both"/>
        <w:rPr>
          <w:rFonts w:ascii="Times New Roman" w:hAnsi="Times New Roman" w:cs="Times New Roman"/>
          <w:bCs/>
          <w:sz w:val="24"/>
          <w:szCs w:val="28"/>
        </w:rPr>
      </w:pPr>
      <w:r>
        <w:rPr>
          <w:rFonts w:ascii="Times New Roman" w:hAnsi="Times New Roman" w:cs="Times New Roman"/>
          <w:bCs/>
          <w:sz w:val="24"/>
          <w:szCs w:val="28"/>
        </w:rPr>
        <w:t xml:space="preserve">El </w:t>
      </w:r>
      <w:r w:rsidRPr="00574D38">
        <w:rPr>
          <w:rFonts w:ascii="Times New Roman" w:hAnsi="Times New Roman" w:cs="Times New Roman"/>
          <w:bCs/>
          <w:sz w:val="24"/>
          <w:szCs w:val="28"/>
        </w:rPr>
        <w:t xml:space="preserve">límite </w:t>
      </w:r>
      <w:r w:rsidR="00385F2B">
        <w:rPr>
          <w:rFonts w:ascii="Times New Roman" w:hAnsi="Times New Roman" w:cs="Times New Roman"/>
          <w:bCs/>
          <w:sz w:val="24"/>
          <w:szCs w:val="28"/>
        </w:rPr>
        <w:t xml:space="preserve">general </w:t>
      </w:r>
      <w:r w:rsidRPr="00574D38">
        <w:rPr>
          <w:rFonts w:ascii="Times New Roman" w:hAnsi="Times New Roman" w:cs="Times New Roman"/>
          <w:bCs/>
          <w:sz w:val="24"/>
          <w:szCs w:val="28"/>
        </w:rPr>
        <w:t>del volumen de rendimientos íntegros de</w:t>
      </w:r>
      <w:r>
        <w:rPr>
          <w:rFonts w:ascii="Times New Roman" w:hAnsi="Times New Roman" w:cs="Times New Roman"/>
          <w:bCs/>
          <w:sz w:val="24"/>
          <w:szCs w:val="28"/>
        </w:rPr>
        <w:t xml:space="preserve">l año anterior no puede superar los 250.000€ </w:t>
      </w:r>
      <w:r w:rsidR="00385F2B">
        <w:rPr>
          <w:rFonts w:ascii="Times New Roman" w:hAnsi="Times New Roman" w:cs="Times New Roman"/>
          <w:bCs/>
          <w:sz w:val="24"/>
          <w:szCs w:val="28"/>
        </w:rPr>
        <w:t>(antes se preveía que fuera de 150.000€), igualándolo al límite especial establecido para</w:t>
      </w:r>
      <w:r w:rsidRPr="00574D38">
        <w:rPr>
          <w:rFonts w:ascii="Times New Roman" w:hAnsi="Times New Roman" w:cs="Times New Roman"/>
          <w:bCs/>
          <w:sz w:val="24"/>
          <w:szCs w:val="28"/>
        </w:rPr>
        <w:t xml:space="preserve"> </w:t>
      </w:r>
      <w:r w:rsidR="00385F2B">
        <w:rPr>
          <w:rFonts w:ascii="Times New Roman" w:hAnsi="Times New Roman" w:cs="Times New Roman"/>
          <w:bCs/>
          <w:sz w:val="24"/>
          <w:szCs w:val="28"/>
        </w:rPr>
        <w:t>actividades</w:t>
      </w:r>
      <w:r w:rsidRPr="00574D38">
        <w:rPr>
          <w:rFonts w:ascii="Times New Roman" w:hAnsi="Times New Roman" w:cs="Times New Roman"/>
          <w:bCs/>
          <w:sz w:val="24"/>
          <w:szCs w:val="28"/>
        </w:rPr>
        <w:t xml:space="preserve"> agrícolas, ganaderas y fore</w:t>
      </w:r>
      <w:r>
        <w:rPr>
          <w:rFonts w:ascii="Times New Roman" w:hAnsi="Times New Roman" w:cs="Times New Roman"/>
          <w:bCs/>
          <w:sz w:val="24"/>
          <w:szCs w:val="28"/>
        </w:rPr>
        <w:t>stales.</w:t>
      </w:r>
    </w:p>
    <w:p w:rsidR="00574D38" w:rsidRPr="00574D38" w:rsidRDefault="00574D38" w:rsidP="00574D38">
      <w:pPr>
        <w:pStyle w:val="Sangradetextonormal"/>
        <w:tabs>
          <w:tab w:val="num" w:pos="1440"/>
        </w:tabs>
        <w:spacing w:after="0" w:line="240" w:lineRule="auto"/>
        <w:jc w:val="both"/>
        <w:rPr>
          <w:rFonts w:ascii="Times New Roman" w:hAnsi="Times New Roman" w:cs="Times New Roman"/>
          <w:bCs/>
          <w:sz w:val="24"/>
          <w:szCs w:val="28"/>
        </w:rPr>
      </w:pPr>
    </w:p>
    <w:p w:rsidR="00574D38" w:rsidRPr="00574D38" w:rsidRDefault="00574D38" w:rsidP="00574D38">
      <w:pPr>
        <w:pStyle w:val="Sangradetextonormal"/>
        <w:tabs>
          <w:tab w:val="num" w:pos="1440"/>
        </w:tabs>
        <w:spacing w:after="0" w:line="240" w:lineRule="auto"/>
        <w:jc w:val="both"/>
        <w:rPr>
          <w:rFonts w:ascii="Times New Roman" w:hAnsi="Times New Roman" w:cs="Times New Roman"/>
          <w:bCs/>
          <w:sz w:val="24"/>
          <w:szCs w:val="28"/>
        </w:rPr>
      </w:pPr>
      <w:r>
        <w:rPr>
          <w:rFonts w:ascii="Times New Roman" w:hAnsi="Times New Roman" w:cs="Times New Roman"/>
          <w:bCs/>
          <w:sz w:val="24"/>
          <w:szCs w:val="28"/>
        </w:rPr>
        <w:t>E</w:t>
      </w:r>
      <w:r w:rsidRPr="00574D38">
        <w:rPr>
          <w:rFonts w:ascii="Times New Roman" w:hAnsi="Times New Roman" w:cs="Times New Roman"/>
          <w:bCs/>
          <w:sz w:val="24"/>
          <w:szCs w:val="28"/>
        </w:rPr>
        <w:t xml:space="preserve">l límite </w:t>
      </w:r>
      <w:r>
        <w:rPr>
          <w:rFonts w:ascii="Times New Roman" w:hAnsi="Times New Roman" w:cs="Times New Roman"/>
          <w:bCs/>
          <w:sz w:val="24"/>
          <w:szCs w:val="28"/>
        </w:rPr>
        <w:t>d</w:t>
      </w:r>
      <w:r w:rsidRPr="00574D38">
        <w:rPr>
          <w:rFonts w:ascii="Times New Roman" w:hAnsi="Times New Roman" w:cs="Times New Roman"/>
          <w:bCs/>
          <w:sz w:val="24"/>
          <w:szCs w:val="28"/>
        </w:rPr>
        <w:t>e</w:t>
      </w:r>
      <w:r>
        <w:rPr>
          <w:rFonts w:ascii="Times New Roman" w:hAnsi="Times New Roman" w:cs="Times New Roman"/>
          <w:bCs/>
          <w:sz w:val="24"/>
          <w:szCs w:val="28"/>
        </w:rPr>
        <w:t>l</w:t>
      </w:r>
      <w:r w:rsidRPr="00574D38">
        <w:rPr>
          <w:rFonts w:ascii="Times New Roman" w:hAnsi="Times New Roman" w:cs="Times New Roman"/>
          <w:bCs/>
          <w:sz w:val="24"/>
          <w:szCs w:val="28"/>
        </w:rPr>
        <w:t xml:space="preserve"> volumen de rendimientos íntegros del año anterior correspondiente a operaciones por </w:t>
      </w:r>
      <w:r w:rsidR="00385F2B">
        <w:rPr>
          <w:rFonts w:ascii="Times New Roman" w:hAnsi="Times New Roman" w:cs="Times New Roman"/>
          <w:bCs/>
          <w:sz w:val="24"/>
          <w:szCs w:val="28"/>
        </w:rPr>
        <w:t xml:space="preserve">las </w:t>
      </w:r>
      <w:r w:rsidRPr="00574D38">
        <w:rPr>
          <w:rFonts w:ascii="Times New Roman" w:hAnsi="Times New Roman" w:cs="Times New Roman"/>
          <w:bCs/>
          <w:sz w:val="24"/>
          <w:szCs w:val="28"/>
        </w:rPr>
        <w:t xml:space="preserve">que estén obligados a expedir factura los empresarios en módulos, </w:t>
      </w:r>
      <w:r>
        <w:rPr>
          <w:rFonts w:ascii="Times New Roman" w:hAnsi="Times New Roman" w:cs="Times New Roman"/>
          <w:bCs/>
          <w:sz w:val="24"/>
          <w:szCs w:val="28"/>
        </w:rPr>
        <w:t xml:space="preserve">no </w:t>
      </w:r>
      <w:r w:rsidR="00385F2B">
        <w:rPr>
          <w:rFonts w:ascii="Times New Roman" w:hAnsi="Times New Roman" w:cs="Times New Roman"/>
          <w:bCs/>
          <w:sz w:val="24"/>
          <w:szCs w:val="28"/>
        </w:rPr>
        <w:t>podrá</w:t>
      </w:r>
      <w:r>
        <w:rPr>
          <w:rFonts w:ascii="Times New Roman" w:hAnsi="Times New Roman" w:cs="Times New Roman"/>
          <w:bCs/>
          <w:sz w:val="24"/>
          <w:szCs w:val="28"/>
        </w:rPr>
        <w:t xml:space="preserve"> superar los 125.000€</w:t>
      </w:r>
      <w:r w:rsidR="00385F2B">
        <w:rPr>
          <w:rFonts w:ascii="Times New Roman" w:hAnsi="Times New Roman" w:cs="Times New Roman"/>
          <w:bCs/>
          <w:sz w:val="24"/>
          <w:szCs w:val="28"/>
        </w:rPr>
        <w:t xml:space="preserve"> (antes 75.000€)</w:t>
      </w:r>
      <w:r>
        <w:rPr>
          <w:rFonts w:ascii="Times New Roman" w:hAnsi="Times New Roman" w:cs="Times New Roman"/>
          <w:bCs/>
          <w:sz w:val="24"/>
          <w:szCs w:val="28"/>
        </w:rPr>
        <w:t>.</w:t>
      </w:r>
    </w:p>
    <w:p w:rsidR="00385F2B" w:rsidRDefault="00385F2B" w:rsidP="00574D38">
      <w:pPr>
        <w:pStyle w:val="Sangradetextonormal"/>
        <w:tabs>
          <w:tab w:val="num" w:pos="1440"/>
        </w:tabs>
        <w:spacing w:after="0" w:line="240" w:lineRule="auto"/>
        <w:jc w:val="both"/>
        <w:rPr>
          <w:rFonts w:ascii="Times New Roman" w:hAnsi="Times New Roman" w:cs="Times New Roman"/>
          <w:bCs/>
          <w:sz w:val="24"/>
          <w:szCs w:val="28"/>
        </w:rPr>
      </w:pPr>
    </w:p>
    <w:p w:rsidR="00574D38" w:rsidRDefault="00574D38" w:rsidP="00574D38">
      <w:pPr>
        <w:pStyle w:val="Sangradetextonormal"/>
        <w:tabs>
          <w:tab w:val="num" w:pos="1440"/>
        </w:tabs>
        <w:spacing w:after="0" w:line="240" w:lineRule="auto"/>
        <w:jc w:val="both"/>
        <w:rPr>
          <w:rFonts w:ascii="Times New Roman" w:hAnsi="Times New Roman" w:cs="Times New Roman"/>
          <w:bCs/>
          <w:sz w:val="24"/>
          <w:szCs w:val="28"/>
        </w:rPr>
      </w:pPr>
      <w:r w:rsidRPr="00574D38">
        <w:rPr>
          <w:rFonts w:ascii="Times New Roman" w:hAnsi="Times New Roman" w:cs="Times New Roman"/>
          <w:bCs/>
          <w:sz w:val="24"/>
          <w:szCs w:val="28"/>
        </w:rPr>
        <w:lastRenderedPageBreak/>
        <w:t>Asimismo, el límite en el volumen de compras y servicios en el ejercicio anterior, que no pueden superar los empresarios en módulos previsto para c</w:t>
      </w:r>
      <w:r>
        <w:rPr>
          <w:rFonts w:ascii="Times New Roman" w:hAnsi="Times New Roman" w:cs="Times New Roman"/>
          <w:bCs/>
          <w:sz w:val="24"/>
          <w:szCs w:val="28"/>
        </w:rPr>
        <w:t>ontinuar en el régimen será de</w:t>
      </w:r>
      <w:r w:rsidRPr="00574D38">
        <w:rPr>
          <w:rFonts w:ascii="Times New Roman" w:hAnsi="Times New Roman" w:cs="Times New Roman"/>
          <w:bCs/>
          <w:sz w:val="24"/>
          <w:szCs w:val="28"/>
        </w:rPr>
        <w:t xml:space="preserve"> 250.000</w:t>
      </w:r>
      <w:r>
        <w:rPr>
          <w:rFonts w:ascii="Times New Roman" w:hAnsi="Times New Roman" w:cs="Times New Roman"/>
          <w:bCs/>
          <w:sz w:val="24"/>
          <w:szCs w:val="28"/>
        </w:rPr>
        <w:t>€</w:t>
      </w:r>
      <w:r w:rsidRPr="00574D38">
        <w:rPr>
          <w:rFonts w:ascii="Times New Roman" w:hAnsi="Times New Roman" w:cs="Times New Roman"/>
          <w:bCs/>
          <w:sz w:val="24"/>
          <w:szCs w:val="28"/>
        </w:rPr>
        <w:t>.</w:t>
      </w:r>
    </w:p>
    <w:p w:rsidR="004A2444" w:rsidRDefault="004A2444" w:rsidP="004A2444">
      <w:pPr>
        <w:pStyle w:val="Sangradetextonormal"/>
        <w:tabs>
          <w:tab w:val="num" w:pos="1440"/>
        </w:tabs>
        <w:spacing w:after="0" w:line="240" w:lineRule="auto"/>
        <w:jc w:val="both"/>
        <w:rPr>
          <w:rFonts w:ascii="Times New Roman" w:hAnsi="Times New Roman" w:cs="Times New Roman"/>
          <w:bCs/>
          <w:sz w:val="24"/>
          <w:szCs w:val="28"/>
        </w:rPr>
      </w:pPr>
    </w:p>
    <w:p w:rsidR="00B65509" w:rsidRDefault="00B65509" w:rsidP="004A2444">
      <w:pPr>
        <w:pStyle w:val="Sangradetextonormal"/>
        <w:tabs>
          <w:tab w:val="num" w:pos="1440"/>
        </w:tabs>
        <w:spacing w:after="0" w:line="240" w:lineRule="auto"/>
        <w:ind w:left="0"/>
        <w:jc w:val="both"/>
        <w:rPr>
          <w:rFonts w:ascii="Times New Roman" w:hAnsi="Times New Roman" w:cs="Times New Roman"/>
          <w:b/>
          <w:bCs/>
          <w:sz w:val="28"/>
          <w:szCs w:val="28"/>
        </w:rPr>
      </w:pPr>
    </w:p>
    <w:p w:rsidR="00375AD2" w:rsidRPr="00D6146D" w:rsidRDefault="00375AD2" w:rsidP="00FB2EC2">
      <w:pPr>
        <w:pStyle w:val="Sangradetextonormal"/>
        <w:numPr>
          <w:ilvl w:val="0"/>
          <w:numId w:val="22"/>
        </w:numPr>
        <w:tabs>
          <w:tab w:val="num" w:pos="1440"/>
        </w:tabs>
        <w:spacing w:after="0" w:line="240" w:lineRule="auto"/>
        <w:ind w:left="284" w:hanging="426"/>
        <w:jc w:val="both"/>
        <w:rPr>
          <w:rFonts w:ascii="Times New Roman" w:hAnsi="Times New Roman" w:cs="Times New Roman"/>
          <w:b/>
          <w:bCs/>
          <w:sz w:val="28"/>
          <w:szCs w:val="28"/>
        </w:rPr>
      </w:pPr>
      <w:r w:rsidRPr="00D6146D">
        <w:rPr>
          <w:rFonts w:ascii="Times New Roman" w:hAnsi="Times New Roman" w:cs="Times New Roman"/>
          <w:b/>
          <w:bCs/>
          <w:sz w:val="28"/>
          <w:szCs w:val="28"/>
        </w:rPr>
        <w:t>Impuesto so</w:t>
      </w:r>
      <w:r>
        <w:rPr>
          <w:rFonts w:ascii="Times New Roman" w:hAnsi="Times New Roman" w:cs="Times New Roman"/>
          <w:b/>
          <w:bCs/>
          <w:sz w:val="28"/>
          <w:szCs w:val="28"/>
        </w:rPr>
        <w:t>bre Sociedades</w:t>
      </w:r>
    </w:p>
    <w:p w:rsidR="00375AD2" w:rsidRDefault="00375AD2" w:rsidP="0057141F">
      <w:pPr>
        <w:pStyle w:val="Sangradetextonormal"/>
        <w:tabs>
          <w:tab w:val="num" w:pos="720"/>
        </w:tabs>
        <w:jc w:val="both"/>
        <w:rPr>
          <w:rFonts w:cs="Times New Roman"/>
          <w:b/>
          <w:bCs/>
        </w:rPr>
      </w:pPr>
    </w:p>
    <w:p w:rsidR="00373928" w:rsidRPr="00373928" w:rsidRDefault="00375AD2" w:rsidP="00294D41">
      <w:pPr>
        <w:pStyle w:val="Estilo1"/>
        <w:numPr>
          <w:ilvl w:val="0"/>
          <w:numId w:val="19"/>
        </w:numPr>
        <w:ind w:left="426" w:hanging="437"/>
        <w:rPr>
          <w:b w:val="0"/>
          <w:bCs w:val="0"/>
          <w:u w:val="single"/>
          <w:lang w:val="es-ES_tradnl"/>
        </w:rPr>
      </w:pPr>
      <w:proofErr w:type="spellStart"/>
      <w:r w:rsidRPr="00373928">
        <w:rPr>
          <w:b w:val="0"/>
          <w:bCs w:val="0"/>
          <w:u w:val="single"/>
          <w:lang w:val="es-ES_tradnl"/>
        </w:rPr>
        <w:t>Patent</w:t>
      </w:r>
      <w:proofErr w:type="spellEnd"/>
      <w:r w:rsidRPr="00373928">
        <w:rPr>
          <w:b w:val="0"/>
          <w:bCs w:val="0"/>
          <w:u w:val="single"/>
          <w:lang w:val="es-ES_tradnl"/>
        </w:rPr>
        <w:t xml:space="preserve"> Box</w:t>
      </w:r>
      <w:r w:rsidR="00B16744">
        <w:rPr>
          <w:b w:val="0"/>
          <w:bCs w:val="0"/>
          <w:lang w:val="es-ES_tradnl"/>
        </w:rPr>
        <w:t xml:space="preserve">: </w:t>
      </w:r>
      <w:r w:rsidR="00373928">
        <w:rPr>
          <w:b w:val="0"/>
          <w:bCs w:val="0"/>
          <w:lang w:val="es-ES_tradnl"/>
        </w:rPr>
        <w:t>(</w:t>
      </w:r>
      <w:r w:rsidR="00B16744">
        <w:rPr>
          <w:b w:val="0"/>
          <w:bCs w:val="0"/>
          <w:lang w:val="es-ES_tradnl"/>
        </w:rPr>
        <w:t>c</w:t>
      </w:r>
      <w:r w:rsidRPr="00B16744">
        <w:rPr>
          <w:b w:val="0"/>
          <w:bCs w:val="0"/>
          <w:lang w:val="es-ES_tradnl"/>
        </w:rPr>
        <w:t xml:space="preserve">on efectos </w:t>
      </w:r>
      <w:r w:rsidR="00B16744" w:rsidRPr="00B16744">
        <w:rPr>
          <w:b w:val="0"/>
          <w:bCs w:val="0"/>
          <w:lang w:val="es-ES_tradnl"/>
        </w:rPr>
        <w:t>1 de julio de 2016</w:t>
      </w:r>
      <w:r w:rsidR="00373928">
        <w:rPr>
          <w:b w:val="0"/>
          <w:bCs w:val="0"/>
          <w:lang w:val="es-ES_tradnl"/>
        </w:rPr>
        <w:t>)</w:t>
      </w:r>
    </w:p>
    <w:p w:rsidR="00373928" w:rsidRDefault="00373928" w:rsidP="00373928">
      <w:pPr>
        <w:pStyle w:val="Estilo1"/>
        <w:ind w:left="426"/>
        <w:rPr>
          <w:b w:val="0"/>
          <w:bCs w:val="0"/>
          <w:lang w:val="es-ES_tradnl"/>
        </w:rPr>
      </w:pPr>
    </w:p>
    <w:p w:rsidR="00375AD2" w:rsidRPr="00373928" w:rsidRDefault="00373928" w:rsidP="00294D41">
      <w:pPr>
        <w:pStyle w:val="Estilo1"/>
        <w:ind w:left="426"/>
        <w:rPr>
          <w:b w:val="0"/>
          <w:bCs w:val="0"/>
          <w:u w:val="single"/>
          <w:lang w:val="es-ES_tradnl"/>
        </w:rPr>
      </w:pPr>
      <w:r>
        <w:rPr>
          <w:b w:val="0"/>
          <w:bCs w:val="0"/>
          <w:lang w:val="es-ES_tradnl"/>
        </w:rPr>
        <w:t>S</w:t>
      </w:r>
      <w:r w:rsidR="00375AD2" w:rsidRPr="00B16744">
        <w:rPr>
          <w:b w:val="0"/>
          <w:bCs w:val="0"/>
          <w:lang w:val="es-ES_tradnl"/>
        </w:rPr>
        <w:t>e modifica</w:t>
      </w:r>
      <w:r w:rsidR="00B16744">
        <w:rPr>
          <w:b w:val="0"/>
          <w:bCs w:val="0"/>
          <w:lang w:val="es-ES_tradnl"/>
        </w:rPr>
        <w:t xml:space="preserve"> la forma de calcular</w:t>
      </w:r>
      <w:r w:rsidR="00375AD2" w:rsidRPr="00B16744">
        <w:rPr>
          <w:b w:val="0"/>
          <w:bCs w:val="0"/>
          <w:lang w:val="es-ES_tradnl"/>
        </w:rPr>
        <w:t xml:space="preserve"> </w:t>
      </w:r>
      <w:r w:rsidR="00B16744">
        <w:rPr>
          <w:b w:val="0"/>
          <w:bCs w:val="0"/>
          <w:lang w:val="es-ES_tradnl"/>
        </w:rPr>
        <w:t>el</w:t>
      </w:r>
      <w:r w:rsidR="00375AD2" w:rsidRPr="00B16744">
        <w:rPr>
          <w:b w:val="0"/>
          <w:bCs w:val="0"/>
          <w:lang w:val="es-ES_tradnl"/>
        </w:rPr>
        <w:t xml:space="preserve"> importe </w:t>
      </w:r>
      <w:r w:rsidR="00B16744" w:rsidRPr="00B16744">
        <w:rPr>
          <w:b w:val="0"/>
          <w:bCs w:val="0"/>
          <w:lang w:val="es-ES_tradnl"/>
        </w:rPr>
        <w:t>de la renta objeto de reducción.</w:t>
      </w:r>
      <w:r>
        <w:rPr>
          <w:b w:val="0"/>
          <w:bCs w:val="0"/>
          <w:u w:val="single"/>
          <w:lang w:val="es-ES_tradnl"/>
        </w:rPr>
        <w:t xml:space="preserve"> </w:t>
      </w:r>
      <w:r w:rsidR="00DD6441" w:rsidRPr="00373928">
        <w:rPr>
          <w:b w:val="0"/>
          <w:bCs w:val="0"/>
          <w:lang w:val="es-ES_tradnl"/>
        </w:rPr>
        <w:t>Si hasta ahora el beneficio fiscal consistía en integrar solo el 40% de las rentas producidas por la cesión del derecho de uso del intangible, se proyecta aplicar una reducción en la base imponible que</w:t>
      </w:r>
      <w:r w:rsidR="00B16744" w:rsidRPr="00373928">
        <w:rPr>
          <w:b w:val="0"/>
          <w:bCs w:val="0"/>
          <w:lang w:val="es-ES_tradnl"/>
        </w:rPr>
        <w:t xml:space="preserve"> se calcula</w:t>
      </w:r>
      <w:r w:rsidR="00DD6441" w:rsidRPr="00373928">
        <w:rPr>
          <w:b w:val="0"/>
          <w:bCs w:val="0"/>
          <w:lang w:val="es-ES_tradnl"/>
        </w:rPr>
        <w:t>rá al aplicarles</w:t>
      </w:r>
      <w:r>
        <w:rPr>
          <w:b w:val="0"/>
          <w:bCs w:val="0"/>
          <w:lang w:val="es-ES_tradnl"/>
        </w:rPr>
        <w:t xml:space="preserve"> a las mismas</w:t>
      </w:r>
      <w:r w:rsidR="00DD6441" w:rsidRPr="00373928">
        <w:rPr>
          <w:b w:val="0"/>
          <w:bCs w:val="0"/>
          <w:lang w:val="es-ES_tradnl"/>
        </w:rPr>
        <w:t xml:space="preserve"> el </w:t>
      </w:r>
      <w:r w:rsidR="00B16744" w:rsidRPr="00373928">
        <w:rPr>
          <w:b w:val="0"/>
          <w:bCs w:val="0"/>
          <w:lang w:val="es-ES_tradnl"/>
        </w:rPr>
        <w:t>60%</w:t>
      </w:r>
      <w:r w:rsidR="00375AD2" w:rsidRPr="00373928">
        <w:rPr>
          <w:b w:val="0"/>
          <w:bCs w:val="0"/>
          <w:lang w:val="es-ES_tradnl"/>
        </w:rPr>
        <w:t xml:space="preserve"> </w:t>
      </w:r>
      <w:r w:rsidR="00DD6441" w:rsidRPr="00373928">
        <w:rPr>
          <w:b w:val="0"/>
          <w:bCs w:val="0"/>
          <w:lang w:val="es-ES_tradnl"/>
        </w:rPr>
        <w:t>d</w:t>
      </w:r>
      <w:r w:rsidR="00375AD2" w:rsidRPr="00373928">
        <w:rPr>
          <w:b w:val="0"/>
          <w:bCs w:val="0"/>
          <w:lang w:val="es-ES_tradnl"/>
        </w:rPr>
        <w:t>el resultado del siguiente coeficiente:</w:t>
      </w:r>
    </w:p>
    <w:p w:rsidR="00375AD2" w:rsidRDefault="00375AD2" w:rsidP="00294D41">
      <w:pPr>
        <w:pStyle w:val="Estilo1"/>
        <w:ind w:left="1134" w:hanging="282"/>
        <w:rPr>
          <w:b w:val="0"/>
          <w:bCs w:val="0"/>
          <w:lang w:val="es-ES_tradnl"/>
        </w:rPr>
      </w:pPr>
    </w:p>
    <w:p w:rsidR="00375AD2" w:rsidRPr="00D9169C" w:rsidRDefault="00375AD2" w:rsidP="00294D41">
      <w:pPr>
        <w:pStyle w:val="Estilo1"/>
        <w:ind w:left="426"/>
        <w:rPr>
          <w:b w:val="0"/>
          <w:bCs w:val="0"/>
          <w:lang w:val="es-ES_tradnl"/>
        </w:rPr>
      </w:pPr>
      <w:r w:rsidRPr="00D9169C">
        <w:rPr>
          <w:b w:val="0"/>
          <w:bCs w:val="0"/>
          <w:lang w:val="es-ES_tradnl"/>
        </w:rPr>
        <w:t xml:space="preserve">En el </w:t>
      </w:r>
      <w:r w:rsidRPr="00373928">
        <w:rPr>
          <w:bCs w:val="0"/>
          <w:lang w:val="es-ES_tradnl"/>
        </w:rPr>
        <w:t>numerador:</w:t>
      </w:r>
      <w:r w:rsidRPr="00D9169C">
        <w:rPr>
          <w:b w:val="0"/>
          <w:bCs w:val="0"/>
          <w:lang w:val="es-ES_tradnl"/>
        </w:rPr>
        <w:t xml:space="preserve"> </w:t>
      </w:r>
      <w:r w:rsidR="00B16744">
        <w:rPr>
          <w:b w:val="0"/>
          <w:bCs w:val="0"/>
          <w:lang w:val="es-ES_tradnl"/>
        </w:rPr>
        <w:t xml:space="preserve">los </w:t>
      </w:r>
      <w:r w:rsidRPr="00D9169C">
        <w:rPr>
          <w:b w:val="0"/>
          <w:bCs w:val="0"/>
          <w:lang w:val="es-ES_tradnl"/>
        </w:rPr>
        <w:t>gastos relacionados directamente con la creación del activo</w:t>
      </w:r>
      <w:r w:rsidR="00DD6441">
        <w:rPr>
          <w:b w:val="0"/>
          <w:bCs w:val="0"/>
          <w:lang w:val="es-ES_tradnl"/>
        </w:rPr>
        <w:t xml:space="preserve"> (incluidos los subcontratados)</w:t>
      </w:r>
      <w:r w:rsidRPr="00D9169C">
        <w:rPr>
          <w:b w:val="0"/>
          <w:bCs w:val="0"/>
          <w:lang w:val="es-ES_tradnl"/>
        </w:rPr>
        <w:t>. Estos gastos se</w:t>
      </w:r>
      <w:r w:rsidR="00373928">
        <w:rPr>
          <w:b w:val="0"/>
          <w:bCs w:val="0"/>
          <w:lang w:val="es-ES_tradnl"/>
        </w:rPr>
        <w:t xml:space="preserve"> incrementarán en un 30%</w:t>
      </w:r>
      <w:r w:rsidRPr="00D9169C">
        <w:rPr>
          <w:b w:val="0"/>
          <w:bCs w:val="0"/>
          <w:lang w:val="es-ES_tradnl"/>
        </w:rPr>
        <w:t>, con el límite del importe del denominador.</w:t>
      </w:r>
      <w:r w:rsidR="00B16744">
        <w:rPr>
          <w:b w:val="0"/>
          <w:bCs w:val="0"/>
          <w:lang w:val="es-ES_tradnl"/>
        </w:rPr>
        <w:t xml:space="preserve"> </w:t>
      </w:r>
      <w:r w:rsidRPr="00D9169C">
        <w:rPr>
          <w:b w:val="0"/>
          <w:bCs w:val="0"/>
          <w:lang w:val="es-ES_tradnl"/>
        </w:rPr>
        <w:t xml:space="preserve">En el </w:t>
      </w:r>
      <w:r w:rsidRPr="00373928">
        <w:rPr>
          <w:bCs w:val="0"/>
          <w:lang w:val="es-ES_tradnl"/>
        </w:rPr>
        <w:t>denominador:</w:t>
      </w:r>
      <w:r w:rsidRPr="00D9169C">
        <w:rPr>
          <w:b w:val="0"/>
          <w:bCs w:val="0"/>
          <w:lang w:val="es-ES_tradnl"/>
        </w:rPr>
        <w:t xml:space="preserve"> </w:t>
      </w:r>
      <w:r w:rsidR="00B16744">
        <w:rPr>
          <w:b w:val="0"/>
          <w:bCs w:val="0"/>
          <w:lang w:val="es-ES_tradnl"/>
        </w:rPr>
        <w:t>los</w:t>
      </w:r>
      <w:r w:rsidR="00DD6441">
        <w:rPr>
          <w:b w:val="0"/>
          <w:bCs w:val="0"/>
          <w:lang w:val="es-ES_tradnl"/>
        </w:rPr>
        <w:t xml:space="preserve"> mismos</w:t>
      </w:r>
      <w:r w:rsidR="00B16744">
        <w:rPr>
          <w:b w:val="0"/>
          <w:bCs w:val="0"/>
          <w:lang w:val="es-ES_tradnl"/>
        </w:rPr>
        <w:t xml:space="preserve"> </w:t>
      </w:r>
      <w:r w:rsidRPr="00D9169C">
        <w:rPr>
          <w:b w:val="0"/>
          <w:bCs w:val="0"/>
          <w:lang w:val="es-ES_tradnl"/>
        </w:rPr>
        <w:t xml:space="preserve">gastos </w:t>
      </w:r>
      <w:r w:rsidR="00DD6441">
        <w:rPr>
          <w:b w:val="0"/>
          <w:bCs w:val="0"/>
          <w:lang w:val="es-ES_tradnl"/>
        </w:rPr>
        <w:t>del numerador y, en su caso, de la adquisición del activo.</w:t>
      </w:r>
    </w:p>
    <w:p w:rsidR="00375AD2" w:rsidRDefault="00375AD2" w:rsidP="00294D41">
      <w:pPr>
        <w:pStyle w:val="Estilo1"/>
        <w:ind w:left="426" w:hanging="282"/>
        <w:rPr>
          <w:b w:val="0"/>
          <w:bCs w:val="0"/>
          <w:lang w:val="es-ES_tradnl"/>
        </w:rPr>
      </w:pPr>
    </w:p>
    <w:p w:rsidR="00375AD2" w:rsidRDefault="00375AD2" w:rsidP="00294D41">
      <w:pPr>
        <w:pStyle w:val="Estilo1"/>
        <w:ind w:left="426"/>
        <w:rPr>
          <w:b w:val="0"/>
          <w:bCs w:val="0"/>
          <w:lang w:val="es-ES_tradnl"/>
        </w:rPr>
      </w:pPr>
      <w:r w:rsidRPr="00D9169C">
        <w:rPr>
          <w:b w:val="0"/>
          <w:bCs w:val="0"/>
          <w:lang w:val="es-ES_tradnl"/>
        </w:rPr>
        <w:t xml:space="preserve">No se incluirán en el coeficiente </w:t>
      </w:r>
      <w:r w:rsidR="00B16744">
        <w:rPr>
          <w:b w:val="0"/>
          <w:bCs w:val="0"/>
          <w:lang w:val="es-ES_tradnl"/>
        </w:rPr>
        <w:t xml:space="preserve">los </w:t>
      </w:r>
      <w:r w:rsidRPr="00D9169C">
        <w:rPr>
          <w:b w:val="0"/>
          <w:bCs w:val="0"/>
          <w:lang w:val="es-ES_tradnl"/>
        </w:rPr>
        <w:t>gastos financieros, amortizaciones de inmuebles u otros gastos no relacionados directamente con la creación del activo.</w:t>
      </w:r>
    </w:p>
    <w:p w:rsidR="00375AD2" w:rsidRPr="0042155C" w:rsidRDefault="00375AD2" w:rsidP="00D9169C">
      <w:pPr>
        <w:pStyle w:val="Estilo1"/>
        <w:rPr>
          <w:b w:val="0"/>
          <w:bCs w:val="0"/>
          <w:sz w:val="12"/>
          <w:lang w:val="es-ES_tradnl"/>
        </w:rPr>
      </w:pPr>
    </w:p>
    <w:p w:rsidR="00375AD2" w:rsidRPr="004531BD" w:rsidRDefault="00375AD2" w:rsidP="004531BD">
      <w:pPr>
        <w:pStyle w:val="Estilo1"/>
        <w:tabs>
          <w:tab w:val="left" w:pos="993"/>
        </w:tabs>
        <w:ind w:left="993"/>
        <w:rPr>
          <w:b w:val="0"/>
          <w:bCs w:val="0"/>
          <w:lang w:val="es-ES_tradnl"/>
        </w:rPr>
      </w:pPr>
    </w:p>
    <w:p w:rsidR="00375AD2" w:rsidRDefault="00375AD2" w:rsidP="00294D41">
      <w:pPr>
        <w:pStyle w:val="Sangradetextonormal"/>
        <w:numPr>
          <w:ilvl w:val="0"/>
          <w:numId w:val="16"/>
        </w:numPr>
        <w:spacing w:after="0" w:line="240" w:lineRule="auto"/>
        <w:ind w:left="426" w:hanging="426"/>
        <w:jc w:val="both"/>
        <w:rPr>
          <w:rFonts w:ascii="Times New Roman" w:hAnsi="Times New Roman" w:cs="Times New Roman"/>
          <w:sz w:val="24"/>
          <w:szCs w:val="24"/>
        </w:rPr>
      </w:pPr>
      <w:r w:rsidRPr="00574D38">
        <w:rPr>
          <w:rFonts w:ascii="Times New Roman" w:hAnsi="Times New Roman" w:cs="Times New Roman"/>
          <w:sz w:val="24"/>
          <w:szCs w:val="24"/>
          <w:u w:val="single"/>
          <w:lang w:val="es-ES_tradnl"/>
        </w:rPr>
        <w:t>R</w:t>
      </w:r>
      <w:proofErr w:type="spellStart"/>
      <w:r w:rsidRPr="00574D38">
        <w:rPr>
          <w:rFonts w:ascii="Times New Roman" w:hAnsi="Times New Roman" w:cs="Times New Roman"/>
          <w:sz w:val="24"/>
          <w:szCs w:val="24"/>
          <w:u w:val="single"/>
        </w:rPr>
        <w:t>égimen</w:t>
      </w:r>
      <w:proofErr w:type="spellEnd"/>
      <w:r w:rsidRPr="00574D38">
        <w:rPr>
          <w:rFonts w:ascii="Times New Roman" w:hAnsi="Times New Roman" w:cs="Times New Roman"/>
          <w:sz w:val="24"/>
          <w:szCs w:val="24"/>
          <w:u w:val="single"/>
        </w:rPr>
        <w:t xml:space="preserve"> transitorio</w:t>
      </w:r>
      <w:r w:rsidR="00EB0B09">
        <w:rPr>
          <w:rFonts w:ascii="Times New Roman" w:hAnsi="Times New Roman" w:cs="Times New Roman"/>
          <w:sz w:val="24"/>
          <w:szCs w:val="24"/>
        </w:rPr>
        <w:t xml:space="preserve">: </w:t>
      </w:r>
    </w:p>
    <w:p w:rsidR="00375AD2" w:rsidRDefault="00375AD2" w:rsidP="006B0045">
      <w:pPr>
        <w:pStyle w:val="Sangradetextonormal"/>
        <w:spacing w:after="0" w:line="240" w:lineRule="auto"/>
        <w:ind w:left="720"/>
        <w:jc w:val="both"/>
        <w:rPr>
          <w:rFonts w:ascii="Times New Roman" w:hAnsi="Times New Roman" w:cs="Times New Roman"/>
          <w:sz w:val="24"/>
          <w:szCs w:val="24"/>
        </w:rPr>
      </w:pPr>
    </w:p>
    <w:p w:rsidR="00375AD2" w:rsidRDefault="00375AD2" w:rsidP="00294D41">
      <w:pPr>
        <w:pStyle w:val="Sangradetextonormal"/>
        <w:numPr>
          <w:ilvl w:val="0"/>
          <w:numId w:val="17"/>
        </w:numPr>
        <w:spacing w:after="0" w:line="240" w:lineRule="auto"/>
        <w:ind w:left="851" w:hanging="425"/>
        <w:jc w:val="both"/>
        <w:rPr>
          <w:rFonts w:ascii="Times New Roman" w:hAnsi="Times New Roman" w:cs="Times New Roman"/>
          <w:sz w:val="24"/>
          <w:szCs w:val="24"/>
        </w:rPr>
      </w:pPr>
      <w:r w:rsidRPr="00373928">
        <w:rPr>
          <w:rFonts w:ascii="Times New Roman" w:hAnsi="Times New Roman" w:cs="Times New Roman"/>
          <w:sz w:val="24"/>
          <w:szCs w:val="24"/>
        </w:rPr>
        <w:t>Cesiones del derecho de uso o explotación realizados con anterioridad al 27 de septiembre de 2013</w:t>
      </w:r>
      <w:r w:rsidR="00574D38">
        <w:rPr>
          <w:rFonts w:ascii="Times New Roman" w:hAnsi="Times New Roman" w:cs="Times New Roman"/>
          <w:sz w:val="24"/>
          <w:szCs w:val="24"/>
        </w:rPr>
        <w:t>: e</w:t>
      </w:r>
      <w:r w:rsidRPr="00574D38">
        <w:rPr>
          <w:rFonts w:ascii="Times New Roman" w:hAnsi="Times New Roman" w:cs="Times New Roman"/>
          <w:sz w:val="24"/>
          <w:szCs w:val="24"/>
        </w:rPr>
        <w:t>n estos casos se podrá optar por aplicar, en</w:t>
      </w:r>
      <w:r w:rsidR="00574D38">
        <w:rPr>
          <w:rFonts w:ascii="Times New Roman" w:hAnsi="Times New Roman" w:cs="Times New Roman"/>
          <w:sz w:val="24"/>
          <w:szCs w:val="24"/>
        </w:rPr>
        <w:t xml:space="preserve"> todos los periodos impositivos </w:t>
      </w:r>
      <w:r w:rsidRPr="00574D38">
        <w:rPr>
          <w:rFonts w:ascii="Times New Roman" w:hAnsi="Times New Roman" w:cs="Times New Roman"/>
          <w:sz w:val="24"/>
          <w:szCs w:val="24"/>
        </w:rPr>
        <w:t>que resten</w:t>
      </w:r>
      <w:r w:rsidR="00DD6441" w:rsidRPr="00574D38">
        <w:rPr>
          <w:rFonts w:ascii="Times New Roman" w:hAnsi="Times New Roman" w:cs="Times New Roman"/>
          <w:sz w:val="24"/>
          <w:szCs w:val="24"/>
        </w:rPr>
        <w:t>,</w:t>
      </w:r>
      <w:r w:rsidRPr="00574D38">
        <w:rPr>
          <w:rFonts w:ascii="Times New Roman" w:hAnsi="Times New Roman" w:cs="Times New Roman"/>
          <w:sz w:val="24"/>
          <w:szCs w:val="24"/>
        </w:rPr>
        <w:t xml:space="preserve"> hasta la finalización de los contratos correspondientes, el régimen establecido en el artículo 23 del RDL 4/2004.</w:t>
      </w:r>
      <w:r w:rsidR="00DD6441" w:rsidRPr="00574D38">
        <w:rPr>
          <w:rFonts w:ascii="Times New Roman" w:hAnsi="Times New Roman" w:cs="Times New Roman"/>
          <w:sz w:val="24"/>
          <w:szCs w:val="24"/>
        </w:rPr>
        <w:t xml:space="preserve"> La opción se realizará en la declaración del período 2016.</w:t>
      </w:r>
      <w:r w:rsidR="00385F2B">
        <w:rPr>
          <w:rFonts w:ascii="Times New Roman" w:hAnsi="Times New Roman" w:cs="Times New Roman"/>
          <w:sz w:val="24"/>
          <w:szCs w:val="24"/>
        </w:rPr>
        <w:t xml:space="preserve"> A partir de 30-06-21 se deberá aplicar el nuevo régimen.</w:t>
      </w:r>
    </w:p>
    <w:p w:rsidR="00574D38" w:rsidRDefault="00574D38" w:rsidP="00294D41">
      <w:pPr>
        <w:pStyle w:val="Sangradetextonormal"/>
        <w:spacing w:after="0" w:line="240" w:lineRule="auto"/>
        <w:ind w:left="851" w:hanging="425"/>
        <w:jc w:val="both"/>
        <w:rPr>
          <w:rFonts w:ascii="Times New Roman" w:hAnsi="Times New Roman" w:cs="Times New Roman"/>
          <w:sz w:val="24"/>
          <w:szCs w:val="24"/>
        </w:rPr>
      </w:pPr>
    </w:p>
    <w:p w:rsidR="00574D38" w:rsidRPr="00385F2B" w:rsidRDefault="00375AD2" w:rsidP="00385F2B">
      <w:pPr>
        <w:pStyle w:val="Sangradetextonormal"/>
        <w:numPr>
          <w:ilvl w:val="0"/>
          <w:numId w:val="17"/>
        </w:numPr>
        <w:spacing w:after="0" w:line="240" w:lineRule="auto"/>
        <w:ind w:left="851" w:hanging="425"/>
        <w:jc w:val="both"/>
        <w:rPr>
          <w:rFonts w:ascii="Times New Roman" w:hAnsi="Times New Roman" w:cs="Times New Roman"/>
          <w:sz w:val="24"/>
          <w:szCs w:val="24"/>
        </w:rPr>
      </w:pPr>
      <w:r w:rsidRPr="00574D38">
        <w:rPr>
          <w:rFonts w:ascii="Times New Roman" w:hAnsi="Times New Roman" w:cs="Times New Roman"/>
          <w:sz w:val="24"/>
          <w:szCs w:val="24"/>
        </w:rPr>
        <w:t>Cesiones del derecho de uso o de explotación que se realicen desde el 27 de septiembre de 2013 hasta el 30 de junio de 2016</w:t>
      </w:r>
      <w:r w:rsidR="00574D38" w:rsidRPr="00574D38">
        <w:rPr>
          <w:rFonts w:ascii="Times New Roman" w:hAnsi="Times New Roman" w:cs="Times New Roman"/>
          <w:sz w:val="24"/>
          <w:szCs w:val="24"/>
        </w:rPr>
        <w:t>: e</w:t>
      </w:r>
      <w:r w:rsidRPr="00574D38">
        <w:rPr>
          <w:rFonts w:ascii="Times New Roman" w:hAnsi="Times New Roman" w:cs="Times New Roman"/>
          <w:sz w:val="24"/>
          <w:szCs w:val="24"/>
        </w:rPr>
        <w:t xml:space="preserve">n estos casos el contribuyente podrá optar por aplicar el régimen establecido en la </w:t>
      </w:r>
      <w:r w:rsidR="00B16744" w:rsidRPr="00574D38">
        <w:rPr>
          <w:rFonts w:ascii="Times New Roman" w:hAnsi="Times New Roman" w:cs="Times New Roman"/>
          <w:sz w:val="24"/>
          <w:szCs w:val="24"/>
        </w:rPr>
        <w:t>Ley del Impuesto</w:t>
      </w:r>
      <w:r w:rsidRPr="00574D38">
        <w:rPr>
          <w:rFonts w:ascii="Times New Roman" w:hAnsi="Times New Roman" w:cs="Times New Roman"/>
          <w:sz w:val="24"/>
          <w:szCs w:val="24"/>
        </w:rPr>
        <w:t xml:space="preserve"> según redacción vigente a 1 de enero de 2015.</w:t>
      </w:r>
      <w:r w:rsidR="00DD6441" w:rsidRPr="00574D38">
        <w:rPr>
          <w:rFonts w:ascii="Times New Roman" w:hAnsi="Times New Roman" w:cs="Times New Roman"/>
          <w:sz w:val="24"/>
          <w:szCs w:val="24"/>
        </w:rPr>
        <w:t xml:space="preserve"> La opción se debe de hacer en la declaración de 2016.</w:t>
      </w:r>
      <w:r w:rsidR="00385F2B">
        <w:rPr>
          <w:rFonts w:ascii="Times New Roman" w:hAnsi="Times New Roman" w:cs="Times New Roman"/>
          <w:sz w:val="24"/>
          <w:szCs w:val="24"/>
        </w:rPr>
        <w:t xml:space="preserve"> </w:t>
      </w:r>
      <w:r w:rsidR="00385F2B">
        <w:rPr>
          <w:rFonts w:ascii="Times New Roman" w:hAnsi="Times New Roman" w:cs="Times New Roman"/>
          <w:sz w:val="24"/>
          <w:szCs w:val="24"/>
        </w:rPr>
        <w:t>A partir de 30-06-21 se deberá aplicar el nuevo régimen.</w:t>
      </w:r>
    </w:p>
    <w:p w:rsidR="00574D38" w:rsidRPr="00574D38" w:rsidRDefault="00574D38" w:rsidP="00294D41">
      <w:pPr>
        <w:pStyle w:val="Prrafodelista"/>
        <w:ind w:left="851" w:hanging="425"/>
        <w:rPr>
          <w:rFonts w:ascii="Times New Roman" w:hAnsi="Times New Roman" w:cs="Times New Roman"/>
          <w:sz w:val="6"/>
          <w:szCs w:val="24"/>
        </w:rPr>
      </w:pPr>
    </w:p>
    <w:p w:rsidR="00375AD2" w:rsidRDefault="00375AD2" w:rsidP="00294D41">
      <w:pPr>
        <w:pStyle w:val="Sangradetextonormal"/>
        <w:numPr>
          <w:ilvl w:val="0"/>
          <w:numId w:val="17"/>
        </w:numPr>
        <w:spacing w:after="0" w:line="240" w:lineRule="auto"/>
        <w:ind w:left="851" w:hanging="425"/>
        <w:jc w:val="both"/>
        <w:rPr>
          <w:rFonts w:ascii="Times New Roman" w:hAnsi="Times New Roman" w:cs="Times New Roman"/>
          <w:sz w:val="24"/>
          <w:szCs w:val="24"/>
        </w:rPr>
      </w:pPr>
      <w:r w:rsidRPr="00574D38">
        <w:rPr>
          <w:rFonts w:ascii="Times New Roman" w:hAnsi="Times New Roman" w:cs="Times New Roman"/>
          <w:sz w:val="24"/>
          <w:szCs w:val="24"/>
        </w:rPr>
        <w:t>Transmisiones de activos intangibles que se realicen a partir del 1 de julio de 2016 hasta el 30 de junio de 2021</w:t>
      </w:r>
      <w:r w:rsidR="00574D38" w:rsidRPr="00574D38">
        <w:rPr>
          <w:rFonts w:ascii="Times New Roman" w:hAnsi="Times New Roman" w:cs="Times New Roman"/>
          <w:sz w:val="24"/>
          <w:szCs w:val="24"/>
        </w:rPr>
        <w:t>: p</w:t>
      </w:r>
      <w:r w:rsidRPr="00574D38">
        <w:rPr>
          <w:rFonts w:ascii="Times New Roman" w:hAnsi="Times New Roman" w:cs="Times New Roman"/>
          <w:sz w:val="24"/>
          <w:szCs w:val="24"/>
        </w:rPr>
        <w:t>odrán optar, del mismo modo, por el régimen establecido en el artículo 23, según redacción vigente a 1 de enero de 2015.</w:t>
      </w:r>
      <w:r w:rsidR="00DD6441" w:rsidRPr="00574D38">
        <w:rPr>
          <w:rFonts w:ascii="Times New Roman" w:hAnsi="Times New Roman" w:cs="Times New Roman"/>
          <w:sz w:val="24"/>
          <w:szCs w:val="24"/>
        </w:rPr>
        <w:t xml:space="preserve"> Se ejercitará la opción en la declaración del período de transmisión.</w:t>
      </w:r>
    </w:p>
    <w:p w:rsidR="00574D38" w:rsidRDefault="00574D38" w:rsidP="00574D38">
      <w:pPr>
        <w:pStyle w:val="Prrafodelista"/>
        <w:rPr>
          <w:rFonts w:ascii="Times New Roman" w:hAnsi="Times New Roman" w:cs="Times New Roman"/>
          <w:sz w:val="24"/>
          <w:szCs w:val="24"/>
        </w:rPr>
      </w:pPr>
    </w:p>
    <w:p w:rsidR="00574D38" w:rsidRPr="00574D38" w:rsidRDefault="00574D38" w:rsidP="00FB2EC2">
      <w:pPr>
        <w:pStyle w:val="Sangradetextonormal"/>
        <w:numPr>
          <w:ilvl w:val="0"/>
          <w:numId w:val="16"/>
        </w:numPr>
        <w:spacing w:after="0" w:line="240" w:lineRule="auto"/>
        <w:ind w:left="567" w:hanging="425"/>
        <w:jc w:val="both"/>
        <w:rPr>
          <w:rFonts w:ascii="Times New Roman" w:hAnsi="Times New Roman" w:cs="Times New Roman"/>
          <w:sz w:val="24"/>
          <w:szCs w:val="24"/>
          <w:u w:val="single"/>
        </w:rPr>
      </w:pPr>
      <w:r w:rsidRPr="00574D38">
        <w:rPr>
          <w:rFonts w:ascii="Times New Roman" w:hAnsi="Times New Roman" w:cs="Times New Roman"/>
          <w:sz w:val="24"/>
          <w:szCs w:val="24"/>
          <w:u w:val="single"/>
        </w:rPr>
        <w:t>Obligación de presentar declaración por entidades parcialmente exentas</w:t>
      </w:r>
    </w:p>
    <w:p w:rsidR="00574D38" w:rsidRDefault="00574D38" w:rsidP="00574D38">
      <w:pPr>
        <w:pStyle w:val="Sangradetextonormal"/>
        <w:spacing w:after="0" w:line="240" w:lineRule="auto"/>
        <w:jc w:val="both"/>
        <w:rPr>
          <w:rFonts w:ascii="Times New Roman" w:hAnsi="Times New Roman" w:cs="Times New Roman"/>
          <w:sz w:val="24"/>
          <w:szCs w:val="24"/>
        </w:rPr>
      </w:pPr>
    </w:p>
    <w:p w:rsidR="00574D38" w:rsidRDefault="00574D38" w:rsidP="00294D41">
      <w:pPr>
        <w:pStyle w:val="Sangradetextonormal"/>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Para los períodos impositivos iniciados a partir de enero de 2015 los contribuyentes que aplique</w:t>
      </w:r>
      <w:r w:rsidR="00385F2B">
        <w:rPr>
          <w:rFonts w:ascii="Times New Roman" w:hAnsi="Times New Roman" w:cs="Times New Roman"/>
          <w:sz w:val="24"/>
          <w:szCs w:val="24"/>
        </w:rPr>
        <w:t>n</w:t>
      </w:r>
      <w:r>
        <w:rPr>
          <w:rFonts w:ascii="Times New Roman" w:hAnsi="Times New Roman" w:cs="Times New Roman"/>
          <w:sz w:val="24"/>
          <w:szCs w:val="24"/>
        </w:rPr>
        <w:t xml:space="preserve"> el régimen especial de entidades parcialmente exentas estarán obligados a presentar la declaración del Impuesto cuando </w:t>
      </w:r>
      <w:r w:rsidR="0042155C">
        <w:rPr>
          <w:rFonts w:ascii="Times New Roman" w:hAnsi="Times New Roman" w:cs="Times New Roman"/>
          <w:sz w:val="24"/>
          <w:szCs w:val="24"/>
        </w:rPr>
        <w:t>cumplan los siguientes requisitos:</w:t>
      </w:r>
    </w:p>
    <w:p w:rsidR="0042155C" w:rsidRDefault="0042155C" w:rsidP="00574D38">
      <w:pPr>
        <w:pStyle w:val="Sangradetextonormal"/>
        <w:spacing w:after="0" w:line="240" w:lineRule="auto"/>
        <w:jc w:val="both"/>
        <w:rPr>
          <w:rFonts w:ascii="Times New Roman" w:hAnsi="Times New Roman" w:cs="Times New Roman"/>
          <w:sz w:val="24"/>
          <w:szCs w:val="24"/>
        </w:rPr>
      </w:pPr>
    </w:p>
    <w:p w:rsidR="0042155C" w:rsidRDefault="0042155C" w:rsidP="00294D41">
      <w:pPr>
        <w:pStyle w:val="Sangradetextonormal"/>
        <w:numPr>
          <w:ilvl w:val="0"/>
          <w:numId w:val="21"/>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Que sus ingresos totales no superen los 75.000€.</w:t>
      </w:r>
    </w:p>
    <w:p w:rsidR="0042155C" w:rsidRDefault="0042155C" w:rsidP="00294D41">
      <w:pPr>
        <w:pStyle w:val="Sangradetextonormal"/>
        <w:spacing w:after="0" w:line="240" w:lineRule="auto"/>
        <w:ind w:left="851" w:hanging="425"/>
        <w:jc w:val="both"/>
        <w:rPr>
          <w:rFonts w:ascii="Times New Roman" w:hAnsi="Times New Roman" w:cs="Times New Roman"/>
          <w:sz w:val="24"/>
          <w:szCs w:val="24"/>
        </w:rPr>
      </w:pPr>
    </w:p>
    <w:p w:rsidR="0042155C" w:rsidRDefault="0042155C" w:rsidP="00294D41">
      <w:pPr>
        <w:pStyle w:val="Sangradetextonormal"/>
        <w:numPr>
          <w:ilvl w:val="0"/>
          <w:numId w:val="21"/>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Que los ingresos correspondientes a rentas no exentas no superen 2.000€ anuales.</w:t>
      </w:r>
    </w:p>
    <w:p w:rsidR="0042155C" w:rsidRDefault="0042155C" w:rsidP="00294D41">
      <w:pPr>
        <w:pStyle w:val="Sangradetextonormal"/>
        <w:spacing w:after="0" w:line="240" w:lineRule="auto"/>
        <w:ind w:left="851" w:hanging="425"/>
        <w:jc w:val="both"/>
        <w:rPr>
          <w:rFonts w:ascii="Times New Roman" w:hAnsi="Times New Roman" w:cs="Times New Roman"/>
          <w:sz w:val="24"/>
          <w:szCs w:val="24"/>
        </w:rPr>
      </w:pPr>
    </w:p>
    <w:p w:rsidR="0042155C" w:rsidRDefault="0042155C" w:rsidP="00294D41">
      <w:pPr>
        <w:pStyle w:val="Sangradetextonormal"/>
        <w:numPr>
          <w:ilvl w:val="0"/>
          <w:numId w:val="21"/>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Que todas las rentas o exentas que obtengan estén sometidas a retención.</w:t>
      </w:r>
    </w:p>
    <w:p w:rsidR="00385F2B" w:rsidRPr="00574D38" w:rsidRDefault="00385F2B" w:rsidP="00385F2B">
      <w:pPr>
        <w:pStyle w:val="Sangradetextonormal"/>
        <w:spacing w:after="0" w:line="240" w:lineRule="auto"/>
        <w:ind w:left="0"/>
        <w:jc w:val="both"/>
        <w:rPr>
          <w:rFonts w:ascii="Times New Roman" w:hAnsi="Times New Roman" w:cs="Times New Roman"/>
          <w:sz w:val="24"/>
          <w:szCs w:val="24"/>
        </w:rPr>
      </w:pPr>
    </w:p>
    <w:p w:rsidR="00375AD2" w:rsidRPr="00385F2B" w:rsidRDefault="00385F2B" w:rsidP="00B16744">
      <w:pPr>
        <w:pStyle w:val="Sangradetextonormal"/>
        <w:tabs>
          <w:tab w:val="num" w:pos="1440"/>
        </w:tabs>
        <w:ind w:left="0"/>
        <w:jc w:val="both"/>
        <w:rPr>
          <w:rFonts w:ascii="Times New Roman" w:hAnsi="Times New Roman" w:cs="Times New Roman"/>
          <w:bCs/>
          <w:sz w:val="24"/>
          <w:szCs w:val="24"/>
        </w:rPr>
      </w:pPr>
      <w:r w:rsidRPr="00385F2B">
        <w:rPr>
          <w:rFonts w:ascii="Times New Roman" w:hAnsi="Times New Roman" w:cs="Times New Roman"/>
          <w:bCs/>
          <w:sz w:val="24"/>
          <w:szCs w:val="24"/>
        </w:rPr>
        <w:t xml:space="preserve">Por lo tanto, no llegará a </w:t>
      </w:r>
      <w:r>
        <w:rPr>
          <w:rFonts w:ascii="Times New Roman" w:hAnsi="Times New Roman" w:cs="Times New Roman"/>
          <w:bCs/>
          <w:sz w:val="24"/>
          <w:szCs w:val="24"/>
        </w:rPr>
        <w:t>aplicarse el límite de 50.000€ de ingresos totales que se preveía en el artículo 124.3 de la ley 27/2014 según la redacción dada al mismo por el Real Decreto-ley 1/2015.</w:t>
      </w:r>
      <w:bookmarkStart w:id="3" w:name="_GoBack"/>
      <w:bookmarkEnd w:id="3"/>
    </w:p>
    <w:p w:rsidR="0042155C" w:rsidRPr="00574D38" w:rsidRDefault="0042155C" w:rsidP="00FB2EC2">
      <w:pPr>
        <w:pStyle w:val="Sangradetextonormal"/>
        <w:numPr>
          <w:ilvl w:val="0"/>
          <w:numId w:val="16"/>
        </w:numPr>
        <w:spacing w:after="0" w:line="240" w:lineRule="auto"/>
        <w:ind w:left="567" w:hanging="425"/>
        <w:jc w:val="both"/>
        <w:rPr>
          <w:rFonts w:ascii="Times New Roman" w:hAnsi="Times New Roman" w:cs="Times New Roman"/>
          <w:sz w:val="24"/>
          <w:szCs w:val="24"/>
          <w:u w:val="single"/>
        </w:rPr>
      </w:pPr>
      <w:r>
        <w:rPr>
          <w:rFonts w:ascii="Times New Roman" w:hAnsi="Times New Roman" w:cs="Times New Roman"/>
          <w:sz w:val="24"/>
          <w:szCs w:val="24"/>
          <w:u w:val="single"/>
        </w:rPr>
        <w:t>Prestación patrimonial por conversión de activos por impuesto diferido en crédito exigible frente a la Administración tributaria</w:t>
      </w:r>
    </w:p>
    <w:p w:rsidR="0042155C" w:rsidRDefault="0042155C" w:rsidP="0042155C">
      <w:pPr>
        <w:pStyle w:val="Sangradetextonormal"/>
        <w:spacing w:after="0" w:line="240" w:lineRule="auto"/>
        <w:jc w:val="both"/>
        <w:rPr>
          <w:rFonts w:ascii="Times New Roman" w:hAnsi="Times New Roman" w:cs="Times New Roman"/>
          <w:sz w:val="24"/>
          <w:szCs w:val="24"/>
        </w:rPr>
      </w:pPr>
    </w:p>
    <w:p w:rsidR="0042155C" w:rsidRDefault="008A0143" w:rsidP="00FB2EC2">
      <w:pPr>
        <w:pStyle w:val="Sangradetextonormal"/>
        <w:ind w:left="567"/>
        <w:jc w:val="both"/>
        <w:rPr>
          <w:rFonts w:ascii="Times New Roman" w:hAnsi="Times New Roman" w:cs="Times New Roman"/>
          <w:sz w:val="24"/>
          <w:szCs w:val="24"/>
        </w:rPr>
      </w:pPr>
      <w:r>
        <w:rPr>
          <w:rFonts w:ascii="Times New Roman" w:hAnsi="Times New Roman" w:cs="Times New Roman"/>
          <w:sz w:val="24"/>
          <w:szCs w:val="24"/>
        </w:rPr>
        <w:t>Los contribuyentes que tengan registrados activos por impuestos diferidos (DTA) que den derecho a su monetización estarán obligados a pagar una prestación patrimonial, consistente en el 1,5% de los DTA por conversión de los mismos en un crédito exigible frente a la Administración tributaria.</w:t>
      </w:r>
    </w:p>
    <w:p w:rsidR="008A0143" w:rsidRDefault="008A0143" w:rsidP="00FB2EC2">
      <w:pPr>
        <w:pStyle w:val="Sangradetextonormal"/>
        <w:tabs>
          <w:tab w:val="num" w:pos="1440"/>
        </w:tabs>
        <w:ind w:left="567"/>
        <w:jc w:val="both"/>
        <w:rPr>
          <w:rFonts w:ascii="Times New Roman" w:hAnsi="Times New Roman" w:cs="Times New Roman"/>
          <w:sz w:val="24"/>
          <w:szCs w:val="24"/>
        </w:rPr>
      </w:pPr>
      <w:r>
        <w:rPr>
          <w:rFonts w:ascii="Times New Roman" w:hAnsi="Times New Roman" w:cs="Times New Roman"/>
          <w:sz w:val="24"/>
          <w:szCs w:val="24"/>
        </w:rPr>
        <w:t>Esta prestación se devengará el día del inicio del plazo voluntario de declaración por el Impuesto, coincidiendo su plazo de ingreso con el establecido para la autoliquidación e ingreso. El importe de la prestación se calcula sobre el saldo de los DTA existente el último día del período impositivo correspondiente al Impuesto.</w:t>
      </w:r>
    </w:p>
    <w:p w:rsidR="008A0143" w:rsidRDefault="008A0143" w:rsidP="00FB2EC2">
      <w:pPr>
        <w:pStyle w:val="Sangradetextonormal"/>
        <w:tabs>
          <w:tab w:val="num" w:pos="1440"/>
        </w:tabs>
        <w:ind w:left="567"/>
        <w:jc w:val="both"/>
        <w:rPr>
          <w:rFonts w:cs="Times New Roman"/>
          <w:b/>
          <w:bCs/>
        </w:rPr>
      </w:pPr>
      <w:r>
        <w:rPr>
          <w:rFonts w:ascii="Times New Roman" w:hAnsi="Times New Roman" w:cs="Times New Roman"/>
          <w:sz w:val="24"/>
          <w:szCs w:val="24"/>
        </w:rPr>
        <w:t>Se regula un régimen transitorio para la conversión de los DTA en períodos impositivos iniciados con anterioridad a enero de 2016 en un crédito exigible frente a la Administración tributaria.</w:t>
      </w:r>
    </w:p>
    <w:p w:rsidR="0042155C" w:rsidRDefault="0042155C" w:rsidP="00B16744">
      <w:pPr>
        <w:pStyle w:val="Sangradetextonormal"/>
        <w:tabs>
          <w:tab w:val="num" w:pos="1440"/>
        </w:tabs>
        <w:ind w:left="0"/>
        <w:jc w:val="both"/>
        <w:rPr>
          <w:rFonts w:cs="Times New Roman"/>
          <w:b/>
          <w:bCs/>
        </w:rPr>
      </w:pPr>
    </w:p>
    <w:p w:rsidR="008A0143" w:rsidRPr="002006D5" w:rsidRDefault="008A0143" w:rsidP="00FB2EC2">
      <w:pPr>
        <w:pStyle w:val="Sangradetextonormal"/>
        <w:numPr>
          <w:ilvl w:val="0"/>
          <w:numId w:val="22"/>
        </w:numPr>
        <w:tabs>
          <w:tab w:val="num" w:pos="1440"/>
        </w:tabs>
        <w:spacing w:after="0" w:line="240" w:lineRule="auto"/>
        <w:ind w:left="426" w:hanging="426"/>
        <w:jc w:val="both"/>
        <w:rPr>
          <w:rFonts w:ascii="Times New Roman" w:hAnsi="Times New Roman" w:cs="Times New Roman"/>
          <w:b/>
          <w:bCs/>
          <w:sz w:val="28"/>
          <w:szCs w:val="28"/>
        </w:rPr>
      </w:pPr>
      <w:r w:rsidRPr="002006D5">
        <w:rPr>
          <w:rFonts w:ascii="Times New Roman" w:hAnsi="Times New Roman" w:cs="Times New Roman"/>
          <w:b/>
          <w:bCs/>
          <w:sz w:val="28"/>
          <w:szCs w:val="28"/>
        </w:rPr>
        <w:t>Impuesto sobre el Patrimonio</w:t>
      </w:r>
    </w:p>
    <w:p w:rsidR="008A0143" w:rsidRPr="008A0143" w:rsidRDefault="008A0143" w:rsidP="008A0143">
      <w:pPr>
        <w:pStyle w:val="Sangradetextonormal"/>
        <w:jc w:val="both"/>
        <w:rPr>
          <w:rFonts w:cs="Times New Roman"/>
          <w:sz w:val="14"/>
        </w:rPr>
      </w:pPr>
    </w:p>
    <w:p w:rsidR="008A0143" w:rsidRDefault="008A0143" w:rsidP="008A0143">
      <w:pPr>
        <w:pStyle w:val="Sangradetextonormal"/>
        <w:ind w:left="426"/>
        <w:jc w:val="both"/>
        <w:rPr>
          <w:rFonts w:ascii="Times New Roman" w:hAnsi="Times New Roman" w:cs="Times New Roman"/>
          <w:sz w:val="24"/>
          <w:szCs w:val="24"/>
        </w:rPr>
      </w:pPr>
      <w:r w:rsidRPr="00F53592">
        <w:rPr>
          <w:rFonts w:ascii="Times New Roman" w:hAnsi="Times New Roman" w:cs="Times New Roman"/>
          <w:sz w:val="24"/>
          <w:szCs w:val="24"/>
        </w:rPr>
        <w:t>Se prorroga el restablecimiento</w:t>
      </w:r>
      <w:r>
        <w:rPr>
          <w:rFonts w:ascii="Times New Roman" w:hAnsi="Times New Roman" w:cs="Times New Roman"/>
          <w:sz w:val="24"/>
          <w:szCs w:val="24"/>
        </w:rPr>
        <w:t xml:space="preserve"> de este Impuesto también a 2016</w:t>
      </w:r>
      <w:r w:rsidRPr="00F53592">
        <w:rPr>
          <w:rFonts w:ascii="Times New Roman" w:hAnsi="Times New Roman" w:cs="Times New Roman"/>
          <w:sz w:val="24"/>
          <w:szCs w:val="24"/>
        </w:rPr>
        <w:t>, previéndose</w:t>
      </w:r>
      <w:r>
        <w:rPr>
          <w:rFonts w:ascii="Times New Roman" w:hAnsi="Times New Roman" w:cs="Times New Roman"/>
          <w:sz w:val="24"/>
          <w:szCs w:val="24"/>
        </w:rPr>
        <w:t xml:space="preserve"> que desde el 1 de enero de 2017</w:t>
      </w:r>
      <w:r w:rsidRPr="00F53592">
        <w:rPr>
          <w:rFonts w:ascii="Times New Roman" w:hAnsi="Times New Roman" w:cs="Times New Roman"/>
          <w:sz w:val="24"/>
          <w:szCs w:val="24"/>
        </w:rPr>
        <w:t xml:space="preserve"> se vuelva a desactivar mediante la bonificación en la cuota del 100 por 100.</w:t>
      </w:r>
    </w:p>
    <w:p w:rsidR="00294D41" w:rsidRDefault="00294D41" w:rsidP="008A0143">
      <w:pPr>
        <w:pStyle w:val="Sangradetextonormal"/>
        <w:ind w:left="426"/>
        <w:jc w:val="both"/>
        <w:rPr>
          <w:rFonts w:ascii="Times New Roman" w:hAnsi="Times New Roman" w:cs="Times New Roman"/>
          <w:sz w:val="24"/>
          <w:szCs w:val="24"/>
        </w:rPr>
      </w:pPr>
    </w:p>
    <w:p w:rsidR="00294D41" w:rsidRPr="00DA6FE3" w:rsidRDefault="00294D41" w:rsidP="00FB2EC2">
      <w:pPr>
        <w:pStyle w:val="Sangradetextonormal"/>
        <w:numPr>
          <w:ilvl w:val="0"/>
          <w:numId w:val="22"/>
        </w:numPr>
        <w:tabs>
          <w:tab w:val="num" w:pos="426"/>
          <w:tab w:val="num" w:pos="1440"/>
        </w:tabs>
        <w:spacing w:after="0" w:line="240" w:lineRule="auto"/>
        <w:ind w:hanging="1080"/>
        <w:jc w:val="both"/>
        <w:rPr>
          <w:rFonts w:ascii="Times New Roman" w:hAnsi="Times New Roman" w:cs="Times New Roman"/>
          <w:b/>
          <w:bCs/>
          <w:sz w:val="28"/>
          <w:szCs w:val="28"/>
        </w:rPr>
      </w:pPr>
      <w:r w:rsidRPr="00DA6FE3">
        <w:rPr>
          <w:rFonts w:ascii="Times New Roman" w:hAnsi="Times New Roman" w:cs="Times New Roman"/>
          <w:b/>
          <w:bCs/>
          <w:sz w:val="28"/>
          <w:szCs w:val="28"/>
        </w:rPr>
        <w:t xml:space="preserve">Impuesto sobre el </w:t>
      </w:r>
      <w:r>
        <w:rPr>
          <w:rFonts w:ascii="Times New Roman" w:hAnsi="Times New Roman" w:cs="Times New Roman"/>
          <w:b/>
          <w:bCs/>
          <w:sz w:val="28"/>
          <w:szCs w:val="28"/>
        </w:rPr>
        <w:t>Valor Añadido</w:t>
      </w:r>
    </w:p>
    <w:p w:rsidR="00294D41" w:rsidRDefault="00294D41" w:rsidP="00294D41">
      <w:pPr>
        <w:pStyle w:val="Sangradetextonormal"/>
        <w:jc w:val="both"/>
        <w:rPr>
          <w:rFonts w:ascii="Times New Roman" w:hAnsi="Times New Roman" w:cs="Times New Roman"/>
          <w:sz w:val="24"/>
          <w:szCs w:val="24"/>
        </w:rPr>
      </w:pPr>
    </w:p>
    <w:p w:rsidR="00294D41" w:rsidRDefault="00294D41" w:rsidP="00294D41">
      <w:pPr>
        <w:pStyle w:val="Sangradetextonormal"/>
        <w:ind w:left="426"/>
        <w:jc w:val="both"/>
        <w:rPr>
          <w:rFonts w:ascii="Times New Roman" w:hAnsi="Times New Roman" w:cs="Times New Roman"/>
          <w:sz w:val="24"/>
          <w:szCs w:val="24"/>
        </w:rPr>
      </w:pPr>
      <w:r>
        <w:rPr>
          <w:rFonts w:ascii="Times New Roman" w:hAnsi="Times New Roman" w:cs="Times New Roman"/>
          <w:sz w:val="24"/>
          <w:szCs w:val="24"/>
        </w:rPr>
        <w:t>Se introducen modificaciones técnicas en la normativa reguladora de las exenciones de las prestaciones de servicios directamente relacionados con las exportaciones de bienes, así como en lo referente a la exención en las importaciones de bienes que se vinculen al régimen de depósito distinto del aduanero.</w:t>
      </w:r>
    </w:p>
    <w:p w:rsidR="00294D41" w:rsidRPr="00DE6989" w:rsidRDefault="00294D41" w:rsidP="00294D41">
      <w:pPr>
        <w:pStyle w:val="Sangradetextonormal"/>
        <w:ind w:left="426" w:firstLine="294"/>
        <w:jc w:val="both"/>
        <w:rPr>
          <w:rFonts w:ascii="Times New Roman" w:hAnsi="Times New Roman" w:cs="Times New Roman"/>
          <w:sz w:val="6"/>
          <w:szCs w:val="24"/>
        </w:rPr>
      </w:pPr>
    </w:p>
    <w:p w:rsidR="00294D41" w:rsidRPr="00E44C7F" w:rsidRDefault="00294D41" w:rsidP="00BD1F12">
      <w:pPr>
        <w:pStyle w:val="Sangradetextonormal"/>
        <w:numPr>
          <w:ilvl w:val="0"/>
          <w:numId w:val="16"/>
        </w:numPr>
        <w:ind w:left="567" w:hanging="425"/>
        <w:jc w:val="both"/>
        <w:rPr>
          <w:rFonts w:ascii="Times New Roman" w:hAnsi="Times New Roman" w:cs="Times New Roman"/>
          <w:sz w:val="24"/>
          <w:szCs w:val="24"/>
          <w:u w:val="single"/>
        </w:rPr>
      </w:pPr>
      <w:r w:rsidRPr="00E44C7F">
        <w:rPr>
          <w:rFonts w:ascii="Times New Roman" w:hAnsi="Times New Roman" w:cs="Times New Roman"/>
          <w:sz w:val="24"/>
          <w:szCs w:val="24"/>
          <w:u w:val="single"/>
        </w:rPr>
        <w:t>Exenciones de las prestaciones de servicios directamente relacionados con las exportaciones de bienes</w:t>
      </w:r>
    </w:p>
    <w:p w:rsidR="00294D41" w:rsidRDefault="00294D41" w:rsidP="00BD1F12">
      <w:pPr>
        <w:pStyle w:val="Sangradetextonormal"/>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Con efectos 1 de enero de 2015 también es de aplicación esta exención cuando los servicios se presten a los </w:t>
      </w:r>
      <w:proofErr w:type="spellStart"/>
      <w:r>
        <w:rPr>
          <w:rFonts w:ascii="Times New Roman" w:hAnsi="Times New Roman" w:cs="Times New Roman"/>
          <w:sz w:val="24"/>
          <w:szCs w:val="24"/>
        </w:rPr>
        <w:t>transitarios</w:t>
      </w:r>
      <w:proofErr w:type="spellEnd"/>
      <w:r>
        <w:rPr>
          <w:rFonts w:ascii="Times New Roman" w:hAnsi="Times New Roman" w:cs="Times New Roman"/>
          <w:sz w:val="24"/>
          <w:szCs w:val="24"/>
        </w:rPr>
        <w:t xml:space="preserve"> y consignatarios que actúen por cuenta de quienes realicen las exportaciones, de los destinatarios de los bienes o de sus representantes aduaneros.</w:t>
      </w:r>
    </w:p>
    <w:p w:rsidR="00294D41" w:rsidRDefault="00294D41" w:rsidP="00294D41">
      <w:pPr>
        <w:pStyle w:val="Sangradetextonormal"/>
        <w:ind w:left="426" w:firstLine="294"/>
        <w:jc w:val="both"/>
        <w:rPr>
          <w:rFonts w:ascii="Times New Roman" w:hAnsi="Times New Roman" w:cs="Times New Roman"/>
          <w:sz w:val="24"/>
          <w:szCs w:val="24"/>
        </w:rPr>
      </w:pPr>
    </w:p>
    <w:p w:rsidR="00294D41" w:rsidRPr="00E44C7F" w:rsidRDefault="00294D41" w:rsidP="00BD1F12">
      <w:pPr>
        <w:pStyle w:val="Sangradetextonormal"/>
        <w:numPr>
          <w:ilvl w:val="0"/>
          <w:numId w:val="16"/>
        </w:numPr>
        <w:ind w:left="567" w:hanging="425"/>
        <w:jc w:val="both"/>
        <w:rPr>
          <w:rFonts w:ascii="Times New Roman" w:hAnsi="Times New Roman" w:cs="Times New Roman"/>
          <w:sz w:val="24"/>
          <w:szCs w:val="24"/>
          <w:u w:val="single"/>
        </w:rPr>
      </w:pPr>
      <w:r w:rsidRPr="00E44C7F">
        <w:rPr>
          <w:rFonts w:ascii="Times New Roman" w:hAnsi="Times New Roman" w:cs="Times New Roman"/>
          <w:sz w:val="24"/>
          <w:szCs w:val="24"/>
          <w:u w:val="single"/>
        </w:rPr>
        <w:t xml:space="preserve">Exenciones </w:t>
      </w:r>
      <w:r>
        <w:rPr>
          <w:rFonts w:ascii="Times New Roman" w:hAnsi="Times New Roman" w:cs="Times New Roman"/>
          <w:sz w:val="24"/>
          <w:szCs w:val="24"/>
          <w:u w:val="single"/>
        </w:rPr>
        <w:t>en las importaciones de bienes vinculadas al régimen de depósito distinto del aduanero</w:t>
      </w:r>
    </w:p>
    <w:p w:rsidR="00294D41" w:rsidRDefault="00294D41" w:rsidP="005C3A73">
      <w:pPr>
        <w:pStyle w:val="Sangradetextonormal"/>
        <w:ind w:left="567"/>
        <w:jc w:val="both"/>
        <w:rPr>
          <w:rFonts w:ascii="Times New Roman" w:hAnsi="Times New Roman" w:cs="Times New Roman"/>
          <w:sz w:val="24"/>
          <w:szCs w:val="24"/>
        </w:rPr>
      </w:pPr>
      <w:r>
        <w:rPr>
          <w:rFonts w:ascii="Times New Roman" w:hAnsi="Times New Roman" w:cs="Times New Roman"/>
          <w:sz w:val="24"/>
          <w:szCs w:val="24"/>
        </w:rPr>
        <w:t>Con efectos 1 de enero de 2016 quedarán exentas las importaciones de bienes que se destinen a tiendas libres de impuestos que, bajo control aduanero, existen en los puertos y aeropuertos.</w:t>
      </w:r>
    </w:p>
    <w:p w:rsidR="005C3A73" w:rsidRPr="00CC663D" w:rsidRDefault="005C3A73" w:rsidP="005C3A73">
      <w:pPr>
        <w:pStyle w:val="Sangradetextonormal"/>
        <w:ind w:left="567"/>
        <w:jc w:val="both"/>
        <w:rPr>
          <w:rFonts w:ascii="Times New Roman" w:hAnsi="Times New Roman" w:cs="Times New Roman"/>
          <w:sz w:val="14"/>
          <w:szCs w:val="24"/>
        </w:rPr>
      </w:pPr>
    </w:p>
    <w:p w:rsidR="005C3A73" w:rsidRDefault="005C3A73" w:rsidP="005C3A73">
      <w:pPr>
        <w:pStyle w:val="Sangradetextonormal"/>
        <w:numPr>
          <w:ilvl w:val="0"/>
          <w:numId w:val="20"/>
        </w:numPr>
        <w:spacing w:after="0" w:line="240" w:lineRule="auto"/>
        <w:ind w:left="426" w:hanging="426"/>
        <w:jc w:val="both"/>
        <w:rPr>
          <w:rFonts w:ascii="Times New Roman" w:hAnsi="Times New Roman" w:cs="Times New Roman"/>
          <w:bCs/>
          <w:sz w:val="24"/>
          <w:szCs w:val="28"/>
          <w:u w:val="single"/>
        </w:rPr>
      </w:pPr>
      <w:r>
        <w:rPr>
          <w:rFonts w:ascii="Times New Roman" w:hAnsi="Times New Roman" w:cs="Times New Roman"/>
          <w:bCs/>
          <w:sz w:val="24"/>
          <w:szCs w:val="28"/>
          <w:u w:val="single"/>
        </w:rPr>
        <w:t>Límites para la aplicación del régimen simplificado y del régimen especial de la agricultura, ganadería y pesca para 2016 y 2017</w:t>
      </w:r>
    </w:p>
    <w:p w:rsidR="005C3A73" w:rsidRDefault="005C3A73" w:rsidP="005C3A73">
      <w:pPr>
        <w:pStyle w:val="Sangradetextonormal"/>
        <w:tabs>
          <w:tab w:val="num" w:pos="1440"/>
        </w:tabs>
        <w:spacing w:after="0" w:line="240" w:lineRule="auto"/>
        <w:jc w:val="both"/>
        <w:rPr>
          <w:rFonts w:ascii="Times New Roman" w:hAnsi="Times New Roman" w:cs="Times New Roman"/>
          <w:bCs/>
          <w:sz w:val="24"/>
          <w:szCs w:val="28"/>
          <w:u w:val="single"/>
        </w:rPr>
      </w:pPr>
    </w:p>
    <w:p w:rsidR="005C3A73" w:rsidRPr="005C3A73" w:rsidRDefault="00CC663D" w:rsidP="005C3A73">
      <w:pPr>
        <w:pStyle w:val="Sangradetextonormal"/>
        <w:ind w:left="426"/>
        <w:jc w:val="both"/>
        <w:rPr>
          <w:rFonts w:ascii="Times New Roman" w:hAnsi="Times New Roman" w:cs="Times New Roman"/>
          <w:bCs/>
          <w:sz w:val="24"/>
          <w:szCs w:val="28"/>
        </w:rPr>
      </w:pPr>
      <w:r>
        <w:rPr>
          <w:rFonts w:ascii="Times New Roman" w:hAnsi="Times New Roman" w:cs="Times New Roman"/>
          <w:bCs/>
          <w:sz w:val="24"/>
          <w:szCs w:val="28"/>
        </w:rPr>
        <w:t>E</w:t>
      </w:r>
      <w:r w:rsidR="005C3A73" w:rsidRPr="005C3A73">
        <w:rPr>
          <w:rFonts w:ascii="Times New Roman" w:hAnsi="Times New Roman" w:cs="Times New Roman"/>
          <w:bCs/>
          <w:sz w:val="24"/>
          <w:szCs w:val="28"/>
        </w:rPr>
        <w:t>l volumen de adquisiciones e importaciones de bienes y servicios en el ejercicio anterior excluidas las adquisiciones de inmovili</w:t>
      </w:r>
      <w:r w:rsidR="005C3A73">
        <w:rPr>
          <w:rFonts w:ascii="Times New Roman" w:hAnsi="Times New Roman" w:cs="Times New Roman"/>
          <w:bCs/>
          <w:sz w:val="24"/>
          <w:szCs w:val="28"/>
        </w:rPr>
        <w:t>zado no supere la cantidad de 250.000€</w:t>
      </w:r>
      <w:r w:rsidR="005C3A73" w:rsidRPr="005C3A73">
        <w:rPr>
          <w:rFonts w:ascii="Times New Roman" w:hAnsi="Times New Roman" w:cs="Times New Roman"/>
          <w:bCs/>
          <w:sz w:val="24"/>
          <w:szCs w:val="28"/>
        </w:rPr>
        <w:t xml:space="preserve"> (IVA excluido).</w:t>
      </w:r>
    </w:p>
    <w:p w:rsidR="008A0143" w:rsidRDefault="008A0143" w:rsidP="00B16744">
      <w:pPr>
        <w:pStyle w:val="Sangradetextonormal"/>
        <w:tabs>
          <w:tab w:val="num" w:pos="1440"/>
        </w:tabs>
        <w:ind w:left="0"/>
        <w:jc w:val="both"/>
        <w:rPr>
          <w:rFonts w:cs="Times New Roman"/>
          <w:b/>
          <w:bCs/>
        </w:rPr>
      </w:pPr>
    </w:p>
    <w:p w:rsidR="00DD6441" w:rsidRDefault="00DD6441" w:rsidP="005C3A73">
      <w:pPr>
        <w:pStyle w:val="Sangradetextonormal"/>
        <w:numPr>
          <w:ilvl w:val="0"/>
          <w:numId w:val="22"/>
        </w:numPr>
        <w:tabs>
          <w:tab w:val="num" w:pos="1440"/>
        </w:tabs>
        <w:spacing w:after="0" w:line="240" w:lineRule="auto"/>
        <w:ind w:left="426" w:hanging="426"/>
        <w:jc w:val="both"/>
        <w:rPr>
          <w:rFonts w:ascii="Times New Roman" w:hAnsi="Times New Roman" w:cs="Times New Roman"/>
          <w:b/>
          <w:bCs/>
          <w:sz w:val="28"/>
          <w:szCs w:val="28"/>
        </w:rPr>
      </w:pPr>
      <w:r>
        <w:rPr>
          <w:rFonts w:ascii="Times New Roman" w:hAnsi="Times New Roman" w:cs="Times New Roman"/>
          <w:b/>
          <w:bCs/>
          <w:sz w:val="28"/>
          <w:szCs w:val="28"/>
        </w:rPr>
        <w:t>Impuesto sobre la Renta e Impuesto sobre Sociedades</w:t>
      </w:r>
    </w:p>
    <w:p w:rsidR="00DD6441" w:rsidRDefault="00DD6441" w:rsidP="00DD6441">
      <w:pPr>
        <w:pStyle w:val="Sangradetextonormal"/>
        <w:tabs>
          <w:tab w:val="num" w:pos="1440"/>
        </w:tabs>
        <w:spacing w:after="0" w:line="240" w:lineRule="auto"/>
        <w:ind w:left="720"/>
        <w:jc w:val="both"/>
        <w:rPr>
          <w:rFonts w:ascii="Times New Roman" w:hAnsi="Times New Roman" w:cs="Times New Roman"/>
          <w:b/>
          <w:bCs/>
          <w:sz w:val="28"/>
          <w:szCs w:val="28"/>
        </w:rPr>
      </w:pPr>
    </w:p>
    <w:p w:rsidR="00DD6441" w:rsidRDefault="00DD6441" w:rsidP="00696DC8">
      <w:pPr>
        <w:pStyle w:val="Sangradetextonormal"/>
        <w:tabs>
          <w:tab w:val="num" w:pos="1440"/>
        </w:tabs>
        <w:spacing w:after="0" w:line="240" w:lineRule="auto"/>
        <w:ind w:firstLine="143"/>
        <w:jc w:val="both"/>
        <w:rPr>
          <w:rFonts w:ascii="Times New Roman" w:hAnsi="Times New Roman" w:cs="Times New Roman"/>
          <w:sz w:val="24"/>
          <w:szCs w:val="24"/>
          <w:u w:val="single"/>
        </w:rPr>
      </w:pPr>
      <w:r w:rsidRPr="00DD6441">
        <w:rPr>
          <w:rFonts w:ascii="Times New Roman" w:hAnsi="Times New Roman" w:cs="Times New Roman"/>
          <w:sz w:val="24"/>
          <w:szCs w:val="24"/>
          <w:u w:val="single"/>
        </w:rPr>
        <w:t>Actividades prioritarias de mecenazgo</w:t>
      </w:r>
    </w:p>
    <w:p w:rsidR="00DD6441" w:rsidRDefault="00DD6441" w:rsidP="00DD6441">
      <w:pPr>
        <w:pStyle w:val="Sangradetextonormal"/>
        <w:tabs>
          <w:tab w:val="num" w:pos="1440"/>
        </w:tabs>
        <w:spacing w:after="0" w:line="240" w:lineRule="auto"/>
        <w:ind w:left="720"/>
        <w:jc w:val="both"/>
        <w:rPr>
          <w:rFonts w:ascii="Times New Roman" w:hAnsi="Times New Roman" w:cs="Times New Roman"/>
          <w:sz w:val="24"/>
          <w:szCs w:val="24"/>
          <w:u w:val="single"/>
        </w:rPr>
      </w:pPr>
    </w:p>
    <w:p w:rsidR="00DD6441" w:rsidRDefault="00DD6441" w:rsidP="00696DC8">
      <w:pPr>
        <w:pStyle w:val="Sangradetextonormal"/>
        <w:tabs>
          <w:tab w:val="num" w:pos="1440"/>
        </w:tabs>
        <w:spacing w:after="0" w:line="240" w:lineRule="auto"/>
        <w:ind w:left="426"/>
        <w:jc w:val="both"/>
        <w:rPr>
          <w:rFonts w:ascii="Times New Roman" w:hAnsi="Times New Roman" w:cs="Times New Roman"/>
          <w:sz w:val="24"/>
          <w:szCs w:val="24"/>
        </w:rPr>
      </w:pPr>
      <w:r w:rsidRPr="00DD6441">
        <w:rPr>
          <w:rFonts w:ascii="Times New Roman" w:hAnsi="Times New Roman" w:cs="Times New Roman"/>
          <w:sz w:val="24"/>
          <w:szCs w:val="24"/>
        </w:rPr>
        <w:t>A los efectos de la deducción incr</w:t>
      </w:r>
      <w:r>
        <w:rPr>
          <w:rFonts w:ascii="Times New Roman" w:hAnsi="Times New Roman" w:cs="Times New Roman"/>
          <w:sz w:val="24"/>
          <w:szCs w:val="24"/>
        </w:rPr>
        <w:t>ementada en estos Impuestos (5 puntos porcentuales más)</w:t>
      </w:r>
      <w:r w:rsidR="00696DC8">
        <w:rPr>
          <w:rFonts w:ascii="Times New Roman" w:hAnsi="Times New Roman" w:cs="Times New Roman"/>
          <w:sz w:val="24"/>
          <w:szCs w:val="24"/>
        </w:rPr>
        <w:t xml:space="preserve"> y</w:t>
      </w:r>
      <w:r w:rsidR="00696DC8" w:rsidRPr="00696DC8">
        <w:rPr>
          <w:rFonts w:ascii="Times New Roman" w:hAnsi="Times New Roman" w:cs="Times New Roman"/>
          <w:sz w:val="24"/>
          <w:szCs w:val="24"/>
        </w:rPr>
        <w:t xml:space="preserve"> </w:t>
      </w:r>
      <w:r w:rsidR="00696DC8">
        <w:rPr>
          <w:rFonts w:ascii="Times New Roman" w:hAnsi="Times New Roman" w:cs="Times New Roman"/>
          <w:sz w:val="24"/>
          <w:szCs w:val="24"/>
        </w:rPr>
        <w:t>con el límite de 50.000€ anuales</w:t>
      </w:r>
      <w:r w:rsidR="00EB0B09">
        <w:rPr>
          <w:rStyle w:val="Refdenotaalpie"/>
          <w:rFonts w:ascii="Times New Roman" w:hAnsi="Times New Roman" w:cs="Times New Roman"/>
          <w:sz w:val="24"/>
          <w:szCs w:val="24"/>
        </w:rPr>
        <w:footnoteReference w:id="1"/>
      </w:r>
      <w:r w:rsidR="00696DC8">
        <w:rPr>
          <w:rFonts w:ascii="Times New Roman" w:hAnsi="Times New Roman" w:cs="Times New Roman"/>
          <w:sz w:val="24"/>
          <w:szCs w:val="24"/>
        </w:rPr>
        <w:t xml:space="preserve"> para cada aportante,</w:t>
      </w:r>
      <w:r>
        <w:rPr>
          <w:rFonts w:ascii="Times New Roman" w:hAnsi="Times New Roman" w:cs="Times New Roman"/>
          <w:sz w:val="24"/>
          <w:szCs w:val="24"/>
        </w:rPr>
        <w:t xml:space="preserve"> tendrán esta consideración las siguientes:</w:t>
      </w:r>
    </w:p>
    <w:p w:rsidR="00DD6441" w:rsidRDefault="00DD6441" w:rsidP="00DD6441">
      <w:pPr>
        <w:pStyle w:val="Sangradetextonormal"/>
        <w:tabs>
          <w:tab w:val="num" w:pos="1440"/>
        </w:tabs>
        <w:spacing w:after="0" w:line="240" w:lineRule="auto"/>
        <w:ind w:left="720"/>
        <w:jc w:val="both"/>
        <w:rPr>
          <w:rFonts w:ascii="Times New Roman" w:hAnsi="Times New Roman" w:cs="Times New Roman"/>
          <w:sz w:val="24"/>
          <w:szCs w:val="24"/>
        </w:rPr>
      </w:pPr>
    </w:p>
    <w:p w:rsidR="00DD6441" w:rsidRDefault="00DD6441" w:rsidP="00DD6441">
      <w:pPr>
        <w:pStyle w:val="Sangradetextonormal"/>
        <w:tabs>
          <w:tab w:val="num" w:pos="1440"/>
        </w:tabs>
        <w:spacing w:after="0" w:line="240" w:lineRule="auto"/>
        <w:ind w:left="720"/>
        <w:jc w:val="both"/>
        <w:rPr>
          <w:rFonts w:ascii="Times New Roman" w:hAnsi="Times New Roman" w:cs="Times New Roman"/>
          <w:sz w:val="24"/>
          <w:szCs w:val="24"/>
        </w:rPr>
      </w:pPr>
    </w:p>
    <w:p w:rsidR="00DD6441" w:rsidRPr="00DD6441" w:rsidRDefault="00DD6441" w:rsidP="00696DC8">
      <w:pPr>
        <w:pStyle w:val="Sangradetextonormal"/>
        <w:numPr>
          <w:ilvl w:val="0"/>
          <w:numId w:val="11"/>
        </w:numPr>
        <w:spacing w:after="0" w:line="240" w:lineRule="auto"/>
        <w:jc w:val="both"/>
        <w:rPr>
          <w:rFonts w:ascii="Times New Roman" w:hAnsi="Times New Roman" w:cs="Times New Roman"/>
          <w:sz w:val="24"/>
          <w:szCs w:val="24"/>
        </w:rPr>
      </w:pPr>
      <w:r w:rsidRPr="00DD6441">
        <w:rPr>
          <w:rFonts w:ascii="Times New Roman" w:hAnsi="Times New Roman" w:cs="Times New Roman"/>
          <w:sz w:val="24"/>
          <w:szCs w:val="24"/>
        </w:rPr>
        <w:t>Las llevadas a cabo por el Instituto Cervantes para la promoción y difusión de la lengua española y de la cultura mediante redes telemáticas, nuevas tecnologías y otros medios.</w:t>
      </w:r>
    </w:p>
    <w:p w:rsidR="00DD6441" w:rsidRDefault="00DD6441" w:rsidP="00DD6441">
      <w:pPr>
        <w:pStyle w:val="Sangradetextonormal"/>
        <w:tabs>
          <w:tab w:val="num" w:pos="1440"/>
        </w:tabs>
        <w:spacing w:after="0" w:line="240" w:lineRule="auto"/>
        <w:jc w:val="both"/>
        <w:rPr>
          <w:rFonts w:ascii="Times New Roman" w:hAnsi="Times New Roman" w:cs="Times New Roman"/>
          <w:sz w:val="24"/>
          <w:szCs w:val="24"/>
        </w:rPr>
      </w:pPr>
    </w:p>
    <w:p w:rsidR="00DD6441" w:rsidRDefault="00DD6441" w:rsidP="00696DC8">
      <w:pPr>
        <w:pStyle w:val="Sangradetextonormal"/>
        <w:numPr>
          <w:ilvl w:val="0"/>
          <w:numId w:val="11"/>
        </w:numPr>
        <w:spacing w:after="0" w:line="240" w:lineRule="auto"/>
        <w:jc w:val="both"/>
        <w:rPr>
          <w:rFonts w:ascii="Times New Roman" w:hAnsi="Times New Roman" w:cs="Times New Roman"/>
          <w:sz w:val="24"/>
          <w:szCs w:val="24"/>
        </w:rPr>
      </w:pPr>
      <w:r w:rsidRPr="00DD6441">
        <w:rPr>
          <w:rFonts w:ascii="Times New Roman" w:hAnsi="Times New Roman" w:cs="Times New Roman"/>
          <w:sz w:val="24"/>
          <w:szCs w:val="24"/>
        </w:rPr>
        <w:t>Las llevadas a cabo por la Agencia Española de Cooperación Internacional para el Desarrollo para la lucha contra la pobreza y la consecución de un desarrollo humano sostenible en los países en desarrollo.</w:t>
      </w:r>
    </w:p>
    <w:p w:rsidR="00DD6441" w:rsidRDefault="00DD6441" w:rsidP="00DD6441">
      <w:pPr>
        <w:pStyle w:val="Sangradetextonormal"/>
        <w:tabs>
          <w:tab w:val="num" w:pos="1440"/>
        </w:tabs>
        <w:spacing w:after="0" w:line="240" w:lineRule="auto"/>
        <w:ind w:left="0"/>
        <w:jc w:val="both"/>
        <w:rPr>
          <w:rFonts w:ascii="Times New Roman" w:hAnsi="Times New Roman" w:cs="Times New Roman"/>
          <w:sz w:val="24"/>
          <w:szCs w:val="24"/>
        </w:rPr>
      </w:pPr>
    </w:p>
    <w:p w:rsidR="00DD6441" w:rsidRDefault="00DD6441" w:rsidP="00696DC8">
      <w:pPr>
        <w:pStyle w:val="Sangradetextonormal"/>
        <w:numPr>
          <w:ilvl w:val="0"/>
          <w:numId w:val="11"/>
        </w:numPr>
        <w:spacing w:after="0" w:line="240" w:lineRule="auto"/>
        <w:jc w:val="both"/>
        <w:rPr>
          <w:rFonts w:ascii="Times New Roman" w:hAnsi="Times New Roman" w:cs="Times New Roman"/>
          <w:sz w:val="24"/>
          <w:szCs w:val="24"/>
        </w:rPr>
      </w:pPr>
      <w:r w:rsidRPr="00DD6441">
        <w:rPr>
          <w:rFonts w:ascii="Times New Roman" w:hAnsi="Times New Roman" w:cs="Times New Roman"/>
          <w:sz w:val="24"/>
          <w:szCs w:val="24"/>
        </w:rPr>
        <w:t xml:space="preserve">Las llevadas a cabo por la Agencia Española de Cooperación Internacional para el Desarrollo para la promoción y el desarrollo de las relaciones culturales y científicas con otros países, así como para la promoción de la cultura española en el exterior. </w:t>
      </w:r>
    </w:p>
    <w:p w:rsidR="00DD6441" w:rsidRPr="00DD6441" w:rsidRDefault="00DD6441" w:rsidP="00DD6441">
      <w:pPr>
        <w:pStyle w:val="Sangradetextonormal"/>
        <w:tabs>
          <w:tab w:val="num" w:pos="1440"/>
        </w:tabs>
        <w:spacing w:after="0" w:line="240" w:lineRule="auto"/>
        <w:jc w:val="both"/>
        <w:rPr>
          <w:rFonts w:ascii="Times New Roman" w:hAnsi="Times New Roman" w:cs="Times New Roman"/>
          <w:sz w:val="24"/>
          <w:szCs w:val="24"/>
        </w:rPr>
      </w:pPr>
    </w:p>
    <w:p w:rsidR="00DD6441" w:rsidRDefault="00DD6441" w:rsidP="00696DC8">
      <w:pPr>
        <w:pStyle w:val="Sangradetextonormal"/>
        <w:numPr>
          <w:ilvl w:val="0"/>
          <w:numId w:val="11"/>
        </w:numPr>
        <w:spacing w:after="0" w:line="240" w:lineRule="auto"/>
        <w:jc w:val="both"/>
        <w:rPr>
          <w:rFonts w:ascii="Times New Roman" w:hAnsi="Times New Roman" w:cs="Times New Roman"/>
          <w:sz w:val="24"/>
          <w:szCs w:val="24"/>
        </w:rPr>
      </w:pPr>
      <w:r w:rsidRPr="00DD6441">
        <w:rPr>
          <w:rFonts w:ascii="Times New Roman" w:hAnsi="Times New Roman" w:cs="Times New Roman"/>
          <w:sz w:val="24"/>
          <w:szCs w:val="24"/>
        </w:rPr>
        <w:t>La promoción y la difusión de las lenguas oficiales de los diferentes territorios del Estado español llevadas a cabo por las correspondientes instituciones de las Comunidades Autónomas con lengua oficial propia.</w:t>
      </w:r>
    </w:p>
    <w:p w:rsidR="00696DC8" w:rsidRPr="00DD6441" w:rsidRDefault="00696DC8" w:rsidP="00696DC8">
      <w:pPr>
        <w:pStyle w:val="Sangradetextonormal"/>
        <w:tabs>
          <w:tab w:val="num" w:pos="1440"/>
        </w:tabs>
        <w:spacing w:after="0" w:line="240" w:lineRule="auto"/>
        <w:ind w:left="0"/>
        <w:jc w:val="both"/>
        <w:rPr>
          <w:rFonts w:ascii="Times New Roman" w:hAnsi="Times New Roman" w:cs="Times New Roman"/>
          <w:sz w:val="24"/>
          <w:szCs w:val="24"/>
        </w:rPr>
      </w:pPr>
    </w:p>
    <w:p w:rsidR="00DD6441" w:rsidRDefault="00DD6441" w:rsidP="00696DC8">
      <w:pPr>
        <w:pStyle w:val="Sangradetextonormal"/>
        <w:numPr>
          <w:ilvl w:val="0"/>
          <w:numId w:val="11"/>
        </w:numPr>
        <w:spacing w:after="0" w:line="240" w:lineRule="auto"/>
        <w:jc w:val="both"/>
        <w:rPr>
          <w:rFonts w:ascii="Times New Roman" w:hAnsi="Times New Roman" w:cs="Times New Roman"/>
          <w:sz w:val="24"/>
          <w:szCs w:val="24"/>
        </w:rPr>
      </w:pPr>
      <w:r w:rsidRPr="00DD6441">
        <w:rPr>
          <w:rFonts w:ascii="Times New Roman" w:hAnsi="Times New Roman" w:cs="Times New Roman"/>
          <w:sz w:val="24"/>
          <w:szCs w:val="24"/>
        </w:rPr>
        <w:t>La conservación, restauración o rehabilitación de los bienes del Patrimonio Histórico Español que se rel</w:t>
      </w:r>
      <w:r w:rsidR="00696DC8">
        <w:rPr>
          <w:rFonts w:ascii="Times New Roman" w:hAnsi="Times New Roman" w:cs="Times New Roman"/>
          <w:sz w:val="24"/>
          <w:szCs w:val="24"/>
        </w:rPr>
        <w:t xml:space="preserve">acionan en el Anexo XIII de este Proyecto. </w:t>
      </w:r>
    </w:p>
    <w:p w:rsidR="00696DC8" w:rsidRPr="00DD6441" w:rsidRDefault="00696DC8" w:rsidP="00696DC8">
      <w:pPr>
        <w:pStyle w:val="Sangradetextonormal"/>
        <w:tabs>
          <w:tab w:val="num" w:pos="1440"/>
        </w:tabs>
        <w:spacing w:after="0" w:line="240" w:lineRule="auto"/>
        <w:ind w:left="0"/>
        <w:jc w:val="both"/>
        <w:rPr>
          <w:rFonts w:ascii="Times New Roman" w:hAnsi="Times New Roman" w:cs="Times New Roman"/>
          <w:sz w:val="24"/>
          <w:szCs w:val="24"/>
        </w:rPr>
      </w:pPr>
    </w:p>
    <w:p w:rsidR="00DD6441" w:rsidRDefault="00DD6441" w:rsidP="00696DC8">
      <w:pPr>
        <w:pStyle w:val="Sangradetextonormal"/>
        <w:numPr>
          <w:ilvl w:val="0"/>
          <w:numId w:val="11"/>
        </w:numPr>
        <w:spacing w:after="0" w:line="240" w:lineRule="auto"/>
        <w:jc w:val="both"/>
        <w:rPr>
          <w:rFonts w:ascii="Times New Roman" w:hAnsi="Times New Roman" w:cs="Times New Roman"/>
          <w:sz w:val="24"/>
          <w:szCs w:val="24"/>
        </w:rPr>
      </w:pPr>
      <w:r w:rsidRPr="00DD6441">
        <w:rPr>
          <w:rFonts w:ascii="Times New Roman" w:hAnsi="Times New Roman" w:cs="Times New Roman"/>
          <w:sz w:val="24"/>
          <w:szCs w:val="24"/>
        </w:rPr>
        <w:t>Los programas de formación del voluntariado que hayan sido objeto de subvención por parte de las Administraciones públicas.</w:t>
      </w:r>
    </w:p>
    <w:p w:rsidR="00696DC8" w:rsidRPr="00DD6441" w:rsidRDefault="00696DC8" w:rsidP="00696DC8">
      <w:pPr>
        <w:pStyle w:val="Sangradetextonormal"/>
        <w:tabs>
          <w:tab w:val="num" w:pos="1440"/>
        </w:tabs>
        <w:spacing w:after="0" w:line="240" w:lineRule="auto"/>
        <w:ind w:left="0"/>
        <w:jc w:val="both"/>
        <w:rPr>
          <w:rFonts w:ascii="Times New Roman" w:hAnsi="Times New Roman" w:cs="Times New Roman"/>
          <w:sz w:val="24"/>
          <w:szCs w:val="24"/>
        </w:rPr>
      </w:pPr>
    </w:p>
    <w:p w:rsidR="00DD6441" w:rsidRDefault="00DD6441" w:rsidP="00696DC8">
      <w:pPr>
        <w:pStyle w:val="Sangradetextonormal"/>
        <w:numPr>
          <w:ilvl w:val="0"/>
          <w:numId w:val="11"/>
        </w:numPr>
        <w:spacing w:after="0" w:line="240" w:lineRule="auto"/>
        <w:jc w:val="both"/>
        <w:rPr>
          <w:rFonts w:ascii="Times New Roman" w:hAnsi="Times New Roman" w:cs="Times New Roman"/>
          <w:sz w:val="24"/>
          <w:szCs w:val="24"/>
        </w:rPr>
      </w:pPr>
      <w:r w:rsidRPr="00DD6441">
        <w:rPr>
          <w:rFonts w:ascii="Times New Roman" w:hAnsi="Times New Roman" w:cs="Times New Roman"/>
          <w:sz w:val="24"/>
          <w:szCs w:val="24"/>
        </w:rPr>
        <w:t>Los proyectos y actuaciones de las Administraciones públicas dedicadas a la promoción de la Sociedad de la Información y, en particular, aquellos que tengan por objeto la prestación de los servicios públicos por medio de los servicios informáticos y telemáticos a través de Internet.</w:t>
      </w:r>
    </w:p>
    <w:p w:rsidR="00696DC8" w:rsidRPr="00DD6441" w:rsidRDefault="00696DC8" w:rsidP="00696DC8">
      <w:pPr>
        <w:pStyle w:val="Sangradetextonormal"/>
        <w:tabs>
          <w:tab w:val="num" w:pos="1440"/>
        </w:tabs>
        <w:spacing w:after="0" w:line="240" w:lineRule="auto"/>
        <w:ind w:left="0"/>
        <w:jc w:val="both"/>
        <w:rPr>
          <w:rFonts w:ascii="Times New Roman" w:hAnsi="Times New Roman" w:cs="Times New Roman"/>
          <w:sz w:val="24"/>
          <w:szCs w:val="24"/>
        </w:rPr>
      </w:pPr>
    </w:p>
    <w:p w:rsidR="00DD6441" w:rsidRDefault="00DD6441" w:rsidP="00696DC8">
      <w:pPr>
        <w:pStyle w:val="Sangradetextonormal"/>
        <w:numPr>
          <w:ilvl w:val="0"/>
          <w:numId w:val="11"/>
        </w:numPr>
        <w:spacing w:after="0" w:line="240" w:lineRule="auto"/>
        <w:jc w:val="both"/>
        <w:rPr>
          <w:rFonts w:ascii="Times New Roman" w:hAnsi="Times New Roman" w:cs="Times New Roman"/>
          <w:sz w:val="24"/>
          <w:szCs w:val="24"/>
        </w:rPr>
      </w:pPr>
      <w:r w:rsidRPr="00DD6441">
        <w:rPr>
          <w:rFonts w:ascii="Times New Roman" w:hAnsi="Times New Roman" w:cs="Times New Roman"/>
          <w:sz w:val="24"/>
          <w:szCs w:val="24"/>
        </w:rPr>
        <w:t>La investigación, desarrollo e innovación en las infraestructuras que forman parte del Mapa nacional de Infraestructuras Científicas y Técnicas Singulares (ICTS) aprobado el 7 de octubre de 2014 por el Consejo de Política Científica, Tecnológica y de Innovación y que, a este efecto, se relaci</w:t>
      </w:r>
      <w:r w:rsidR="00696DC8">
        <w:rPr>
          <w:rFonts w:ascii="Times New Roman" w:hAnsi="Times New Roman" w:cs="Times New Roman"/>
          <w:sz w:val="24"/>
          <w:szCs w:val="24"/>
        </w:rPr>
        <w:t>onan en el Anexo XIV de este Proyecto</w:t>
      </w:r>
      <w:r w:rsidRPr="00DD6441">
        <w:rPr>
          <w:rFonts w:ascii="Times New Roman" w:hAnsi="Times New Roman" w:cs="Times New Roman"/>
          <w:sz w:val="24"/>
          <w:szCs w:val="24"/>
        </w:rPr>
        <w:t>.</w:t>
      </w:r>
    </w:p>
    <w:p w:rsidR="00696DC8" w:rsidRPr="00DD6441" w:rsidRDefault="00696DC8" w:rsidP="00696DC8">
      <w:pPr>
        <w:pStyle w:val="Sangradetextonormal"/>
        <w:tabs>
          <w:tab w:val="num" w:pos="1440"/>
        </w:tabs>
        <w:spacing w:after="0" w:line="240" w:lineRule="auto"/>
        <w:jc w:val="both"/>
        <w:rPr>
          <w:rFonts w:ascii="Times New Roman" w:hAnsi="Times New Roman" w:cs="Times New Roman"/>
          <w:sz w:val="24"/>
          <w:szCs w:val="24"/>
        </w:rPr>
      </w:pPr>
    </w:p>
    <w:p w:rsidR="00DD6441" w:rsidRDefault="00DD6441" w:rsidP="00696DC8">
      <w:pPr>
        <w:pStyle w:val="Sangradetextonormal"/>
        <w:numPr>
          <w:ilvl w:val="0"/>
          <w:numId w:val="11"/>
        </w:numPr>
        <w:spacing w:after="0" w:line="240" w:lineRule="auto"/>
        <w:jc w:val="both"/>
        <w:rPr>
          <w:rFonts w:ascii="Times New Roman" w:hAnsi="Times New Roman" w:cs="Times New Roman"/>
          <w:sz w:val="24"/>
          <w:szCs w:val="24"/>
        </w:rPr>
      </w:pPr>
      <w:r w:rsidRPr="00DD6441">
        <w:rPr>
          <w:rFonts w:ascii="Times New Roman" w:hAnsi="Times New Roman" w:cs="Times New Roman"/>
          <w:sz w:val="24"/>
          <w:szCs w:val="24"/>
        </w:rPr>
        <w:t>La investigación, el desarrollo y la innovación orientados a resolver los retos de la sociedad identificados en la Estrategia Española de Ciencia y Tecnología y de Innovación para el período 2013-2020 y realizados por las entidades que, a estos efectos, se reconozcan por el Ministerio de Hacienda y Administraciones Públicas, a propuesta del Ministerio de Economía y Competitividad.</w:t>
      </w:r>
    </w:p>
    <w:p w:rsidR="00696DC8" w:rsidRPr="00DD6441" w:rsidRDefault="00696DC8" w:rsidP="00696DC8">
      <w:pPr>
        <w:pStyle w:val="Sangradetextonormal"/>
        <w:tabs>
          <w:tab w:val="num" w:pos="1440"/>
        </w:tabs>
        <w:spacing w:after="0" w:line="240" w:lineRule="auto"/>
        <w:jc w:val="both"/>
        <w:rPr>
          <w:rFonts w:ascii="Times New Roman" w:hAnsi="Times New Roman" w:cs="Times New Roman"/>
          <w:sz w:val="24"/>
          <w:szCs w:val="24"/>
        </w:rPr>
      </w:pPr>
    </w:p>
    <w:p w:rsidR="00DD6441" w:rsidRDefault="00DD6441" w:rsidP="00696DC8">
      <w:pPr>
        <w:pStyle w:val="Sangradetextonormal"/>
        <w:numPr>
          <w:ilvl w:val="0"/>
          <w:numId w:val="11"/>
        </w:numPr>
        <w:spacing w:after="0" w:line="240" w:lineRule="auto"/>
        <w:jc w:val="both"/>
        <w:rPr>
          <w:rFonts w:ascii="Times New Roman" w:hAnsi="Times New Roman" w:cs="Times New Roman"/>
          <w:sz w:val="24"/>
          <w:szCs w:val="24"/>
        </w:rPr>
      </w:pPr>
      <w:r w:rsidRPr="00DD6441">
        <w:rPr>
          <w:rFonts w:ascii="Times New Roman" w:hAnsi="Times New Roman" w:cs="Times New Roman"/>
          <w:sz w:val="24"/>
          <w:szCs w:val="24"/>
        </w:rPr>
        <w:t xml:space="preserve">El fomento de la difusión, divulgación y </w:t>
      </w:r>
      <w:r w:rsidR="00696DC8" w:rsidRPr="00DD6441">
        <w:rPr>
          <w:rFonts w:ascii="Times New Roman" w:hAnsi="Times New Roman" w:cs="Times New Roman"/>
          <w:sz w:val="24"/>
          <w:szCs w:val="24"/>
        </w:rPr>
        <w:t>comunicación de la cultura científica y de la innovación llevada</w:t>
      </w:r>
      <w:r w:rsidRPr="00DD6441">
        <w:rPr>
          <w:rFonts w:ascii="Times New Roman" w:hAnsi="Times New Roman" w:cs="Times New Roman"/>
          <w:sz w:val="24"/>
          <w:szCs w:val="24"/>
        </w:rPr>
        <w:t xml:space="preserve"> a cabo por la Fundación Española para la Ciencia y la Tecnología.</w:t>
      </w:r>
    </w:p>
    <w:p w:rsidR="00696DC8" w:rsidRPr="00DD6441" w:rsidRDefault="00696DC8" w:rsidP="00696DC8">
      <w:pPr>
        <w:pStyle w:val="Sangradetextonormal"/>
        <w:tabs>
          <w:tab w:val="num" w:pos="1440"/>
        </w:tabs>
        <w:spacing w:after="0" w:line="240" w:lineRule="auto"/>
        <w:jc w:val="both"/>
        <w:rPr>
          <w:rFonts w:ascii="Times New Roman" w:hAnsi="Times New Roman" w:cs="Times New Roman"/>
          <w:sz w:val="24"/>
          <w:szCs w:val="24"/>
        </w:rPr>
      </w:pPr>
    </w:p>
    <w:p w:rsidR="00DD6441" w:rsidRDefault="00DD6441" w:rsidP="00696DC8">
      <w:pPr>
        <w:pStyle w:val="Sangradetextonormal"/>
        <w:numPr>
          <w:ilvl w:val="0"/>
          <w:numId w:val="11"/>
        </w:numPr>
        <w:spacing w:after="0" w:line="240" w:lineRule="auto"/>
        <w:jc w:val="both"/>
        <w:rPr>
          <w:rFonts w:ascii="Times New Roman" w:hAnsi="Times New Roman" w:cs="Times New Roman"/>
          <w:sz w:val="24"/>
          <w:szCs w:val="24"/>
        </w:rPr>
      </w:pPr>
      <w:r w:rsidRPr="00DD6441">
        <w:rPr>
          <w:rFonts w:ascii="Times New Roman" w:hAnsi="Times New Roman" w:cs="Times New Roman"/>
          <w:sz w:val="24"/>
          <w:szCs w:val="24"/>
        </w:rPr>
        <w:t>Los programas dirigidos a la erradicación de la violencia de género que hayan sido objeto de subvención por parte de las Administraciones Públicas o se realicen en colaboración con éstas.</w:t>
      </w:r>
    </w:p>
    <w:p w:rsidR="00696DC8" w:rsidRPr="00DD6441" w:rsidRDefault="00696DC8" w:rsidP="00696DC8">
      <w:pPr>
        <w:pStyle w:val="Sangradetextonormal"/>
        <w:tabs>
          <w:tab w:val="num" w:pos="1440"/>
        </w:tabs>
        <w:spacing w:after="0" w:line="240" w:lineRule="auto"/>
        <w:jc w:val="both"/>
        <w:rPr>
          <w:rFonts w:ascii="Times New Roman" w:hAnsi="Times New Roman" w:cs="Times New Roman"/>
          <w:sz w:val="24"/>
          <w:szCs w:val="24"/>
        </w:rPr>
      </w:pPr>
    </w:p>
    <w:p w:rsidR="00DD6441" w:rsidRDefault="00DD6441" w:rsidP="00696DC8">
      <w:pPr>
        <w:pStyle w:val="Sangradetextonormal"/>
        <w:numPr>
          <w:ilvl w:val="0"/>
          <w:numId w:val="11"/>
        </w:numPr>
        <w:spacing w:after="0" w:line="240" w:lineRule="auto"/>
        <w:jc w:val="both"/>
        <w:rPr>
          <w:rFonts w:ascii="Times New Roman" w:hAnsi="Times New Roman" w:cs="Times New Roman"/>
          <w:sz w:val="24"/>
          <w:szCs w:val="24"/>
        </w:rPr>
      </w:pPr>
      <w:r w:rsidRPr="00DD6441">
        <w:rPr>
          <w:rFonts w:ascii="Times New Roman" w:hAnsi="Times New Roman" w:cs="Times New Roman"/>
          <w:sz w:val="24"/>
          <w:szCs w:val="24"/>
        </w:rPr>
        <w:t xml:space="preserve">Las actividades de fomento, promoción y difusión de las artes escénicas y musicales llevadas a cabo por las Administraciones públicas o con el apoyo de éstas. </w:t>
      </w:r>
    </w:p>
    <w:p w:rsidR="00696DC8" w:rsidRPr="00DD6441" w:rsidRDefault="00696DC8" w:rsidP="00696DC8">
      <w:pPr>
        <w:pStyle w:val="Sangradetextonormal"/>
        <w:tabs>
          <w:tab w:val="num" w:pos="1440"/>
        </w:tabs>
        <w:spacing w:after="0" w:line="240" w:lineRule="auto"/>
        <w:jc w:val="both"/>
        <w:rPr>
          <w:rFonts w:ascii="Times New Roman" w:hAnsi="Times New Roman" w:cs="Times New Roman"/>
          <w:sz w:val="24"/>
          <w:szCs w:val="24"/>
        </w:rPr>
      </w:pPr>
    </w:p>
    <w:p w:rsidR="00DD6441" w:rsidRDefault="00DD6441" w:rsidP="00696DC8">
      <w:pPr>
        <w:pStyle w:val="Sangradetextonormal"/>
        <w:numPr>
          <w:ilvl w:val="0"/>
          <w:numId w:val="11"/>
        </w:numPr>
        <w:spacing w:after="0" w:line="240" w:lineRule="auto"/>
        <w:jc w:val="both"/>
        <w:rPr>
          <w:rFonts w:ascii="Times New Roman" w:hAnsi="Times New Roman" w:cs="Times New Roman"/>
          <w:sz w:val="24"/>
          <w:szCs w:val="24"/>
        </w:rPr>
      </w:pPr>
      <w:r w:rsidRPr="00DD6441">
        <w:rPr>
          <w:rFonts w:ascii="Times New Roman" w:hAnsi="Times New Roman" w:cs="Times New Roman"/>
          <w:sz w:val="24"/>
          <w:szCs w:val="24"/>
        </w:rPr>
        <w:t>Las llevadas a cabo por la Biblioteca Nacional de España en cumplimiento de los fines y funciones de carácter cultural y de investigación científica establecidos por la Ley 1/2005, de 24 de marzo, regul</w:t>
      </w:r>
      <w:r w:rsidR="00696DC8">
        <w:rPr>
          <w:rFonts w:ascii="Times New Roman" w:hAnsi="Times New Roman" w:cs="Times New Roman"/>
          <w:sz w:val="24"/>
          <w:szCs w:val="24"/>
        </w:rPr>
        <w:t xml:space="preserve">adora de la Biblioteca Nacional </w:t>
      </w:r>
      <w:r w:rsidRPr="00DD6441">
        <w:rPr>
          <w:rFonts w:ascii="Times New Roman" w:hAnsi="Times New Roman" w:cs="Times New Roman"/>
          <w:sz w:val="24"/>
          <w:szCs w:val="24"/>
        </w:rPr>
        <w:t>de España y por el Real Decreto 1638/2009, de 30 de octubre, por el que se aprueba el Estatuto de la Biblioteca Nacional de España.</w:t>
      </w:r>
    </w:p>
    <w:p w:rsidR="00696DC8" w:rsidRPr="00DD6441" w:rsidRDefault="00696DC8" w:rsidP="00696DC8">
      <w:pPr>
        <w:pStyle w:val="Sangradetextonormal"/>
        <w:tabs>
          <w:tab w:val="num" w:pos="1440"/>
        </w:tabs>
        <w:spacing w:after="0" w:line="240" w:lineRule="auto"/>
        <w:jc w:val="both"/>
        <w:rPr>
          <w:rFonts w:ascii="Times New Roman" w:hAnsi="Times New Roman" w:cs="Times New Roman"/>
          <w:sz w:val="24"/>
          <w:szCs w:val="24"/>
        </w:rPr>
      </w:pPr>
    </w:p>
    <w:p w:rsidR="00DD6441" w:rsidRDefault="00DD6441" w:rsidP="00696DC8">
      <w:pPr>
        <w:pStyle w:val="Sangradetextonormal"/>
        <w:numPr>
          <w:ilvl w:val="0"/>
          <w:numId w:val="11"/>
        </w:numPr>
        <w:spacing w:after="0" w:line="240" w:lineRule="auto"/>
        <w:jc w:val="both"/>
        <w:rPr>
          <w:rFonts w:ascii="Times New Roman" w:hAnsi="Times New Roman" w:cs="Times New Roman"/>
          <w:sz w:val="24"/>
          <w:szCs w:val="24"/>
        </w:rPr>
      </w:pPr>
      <w:r w:rsidRPr="00DD6441">
        <w:rPr>
          <w:rFonts w:ascii="Times New Roman" w:hAnsi="Times New Roman" w:cs="Times New Roman"/>
          <w:sz w:val="24"/>
          <w:szCs w:val="24"/>
        </w:rPr>
        <w:t xml:space="preserve">Las llevadas a cabo por la Fundación CEOE en colaboración con el Consejo Superior de Deportes en el marco del proyecto “España Compite: en la Empresa como en el Deporte” con la finalidad de contribuir al impulso y proyección de las PYMES españolas en el ámbito interno e internacional, la potenciación de jóvenes </w:t>
      </w:r>
      <w:r w:rsidRPr="00DD6441">
        <w:rPr>
          <w:rFonts w:ascii="Times New Roman" w:hAnsi="Times New Roman" w:cs="Times New Roman"/>
          <w:sz w:val="24"/>
          <w:szCs w:val="24"/>
        </w:rPr>
        <w:lastRenderedPageBreak/>
        <w:t>talentos deportivos y la promoción del empresario como motor de crecimiento asociado a los valores del deporte.</w:t>
      </w:r>
    </w:p>
    <w:p w:rsidR="00696DC8" w:rsidRPr="00DD6441" w:rsidRDefault="00696DC8" w:rsidP="00696DC8">
      <w:pPr>
        <w:pStyle w:val="Sangradetextonormal"/>
        <w:tabs>
          <w:tab w:val="num" w:pos="1440"/>
        </w:tabs>
        <w:spacing w:after="0" w:line="240" w:lineRule="auto"/>
        <w:ind w:left="0"/>
        <w:jc w:val="both"/>
        <w:rPr>
          <w:rFonts w:ascii="Times New Roman" w:hAnsi="Times New Roman" w:cs="Times New Roman"/>
          <w:sz w:val="24"/>
          <w:szCs w:val="24"/>
        </w:rPr>
      </w:pPr>
    </w:p>
    <w:p w:rsidR="00DD6441" w:rsidRPr="00DD6441" w:rsidRDefault="00DD6441" w:rsidP="00696DC8">
      <w:pPr>
        <w:pStyle w:val="Sangradetextonormal"/>
        <w:numPr>
          <w:ilvl w:val="0"/>
          <w:numId w:val="11"/>
        </w:numPr>
        <w:spacing w:after="0" w:line="240" w:lineRule="auto"/>
        <w:jc w:val="both"/>
        <w:rPr>
          <w:rFonts w:ascii="Times New Roman" w:hAnsi="Times New Roman" w:cs="Times New Roman"/>
          <w:sz w:val="24"/>
          <w:szCs w:val="24"/>
        </w:rPr>
      </w:pPr>
      <w:r w:rsidRPr="00DD6441">
        <w:rPr>
          <w:rFonts w:ascii="Times New Roman" w:hAnsi="Times New Roman" w:cs="Times New Roman"/>
          <w:sz w:val="24"/>
          <w:szCs w:val="24"/>
        </w:rPr>
        <w:t>Las llevadas a cabo por la Fundación ONCE en el marco del</w:t>
      </w:r>
      <w:r w:rsidR="00696DC8">
        <w:rPr>
          <w:rFonts w:ascii="Times New Roman" w:hAnsi="Times New Roman" w:cs="Times New Roman"/>
          <w:sz w:val="24"/>
          <w:szCs w:val="24"/>
        </w:rPr>
        <w:t xml:space="preserve"> </w:t>
      </w:r>
      <w:r w:rsidRPr="00DD6441">
        <w:rPr>
          <w:rFonts w:ascii="Times New Roman" w:hAnsi="Times New Roman" w:cs="Times New Roman"/>
          <w:sz w:val="24"/>
          <w:szCs w:val="24"/>
        </w:rPr>
        <w:t>Programa de Becas “Oportunidad al Talento”, así como las actividades culturales</w:t>
      </w:r>
      <w:r w:rsidR="00696DC8">
        <w:rPr>
          <w:rFonts w:ascii="Times New Roman" w:hAnsi="Times New Roman" w:cs="Times New Roman"/>
          <w:sz w:val="24"/>
          <w:szCs w:val="24"/>
        </w:rPr>
        <w:t xml:space="preserve"> </w:t>
      </w:r>
      <w:r w:rsidRPr="00DD6441">
        <w:rPr>
          <w:rFonts w:ascii="Times New Roman" w:hAnsi="Times New Roman" w:cs="Times New Roman"/>
          <w:sz w:val="24"/>
          <w:szCs w:val="24"/>
        </w:rPr>
        <w:t>desarrolladas por esta entidad en el marco de la B</w:t>
      </w:r>
      <w:r w:rsidR="00696DC8">
        <w:rPr>
          <w:rFonts w:ascii="Times New Roman" w:hAnsi="Times New Roman" w:cs="Times New Roman"/>
          <w:sz w:val="24"/>
          <w:szCs w:val="24"/>
        </w:rPr>
        <w:t xml:space="preserve">ienal de Arte Contemporáneo, el </w:t>
      </w:r>
      <w:r w:rsidRPr="00DD6441">
        <w:rPr>
          <w:rFonts w:ascii="Times New Roman" w:hAnsi="Times New Roman" w:cs="Times New Roman"/>
          <w:sz w:val="24"/>
          <w:szCs w:val="24"/>
        </w:rPr>
        <w:t>Espacio Cultural “Cambio de Sentido” y la Exposición itinerante “El Mundo Fluye”</w:t>
      </w:r>
    </w:p>
    <w:p w:rsidR="00DD6441" w:rsidRDefault="00DD6441" w:rsidP="00DD6441">
      <w:pPr>
        <w:pStyle w:val="Sangradetextonormal"/>
        <w:tabs>
          <w:tab w:val="num" w:pos="1440"/>
        </w:tabs>
        <w:spacing w:after="0" w:line="240" w:lineRule="auto"/>
        <w:ind w:left="720"/>
        <w:jc w:val="both"/>
        <w:rPr>
          <w:rFonts w:ascii="Times New Roman" w:hAnsi="Times New Roman" w:cs="Times New Roman"/>
          <w:b/>
          <w:bCs/>
          <w:sz w:val="28"/>
          <w:szCs w:val="28"/>
        </w:rPr>
      </w:pPr>
    </w:p>
    <w:p w:rsidR="00696DC8" w:rsidRDefault="00696DC8" w:rsidP="00696DC8">
      <w:pPr>
        <w:pStyle w:val="Sangradetextonormal"/>
        <w:tabs>
          <w:tab w:val="num" w:pos="1440"/>
        </w:tabs>
        <w:spacing w:after="0" w:line="240" w:lineRule="auto"/>
        <w:ind w:firstLine="143"/>
        <w:jc w:val="both"/>
        <w:rPr>
          <w:rFonts w:ascii="Times New Roman" w:hAnsi="Times New Roman" w:cs="Times New Roman"/>
          <w:sz w:val="24"/>
          <w:szCs w:val="24"/>
          <w:u w:val="single"/>
        </w:rPr>
      </w:pPr>
      <w:r>
        <w:rPr>
          <w:rFonts w:ascii="Times New Roman" w:hAnsi="Times New Roman" w:cs="Times New Roman"/>
          <w:sz w:val="24"/>
          <w:szCs w:val="24"/>
          <w:u w:val="single"/>
        </w:rPr>
        <w:t>Acontecimientos de excepcional interés público</w:t>
      </w:r>
    </w:p>
    <w:p w:rsidR="00696DC8" w:rsidRDefault="00696DC8" w:rsidP="00696DC8">
      <w:pPr>
        <w:pStyle w:val="Sangradetextonormal"/>
        <w:tabs>
          <w:tab w:val="num" w:pos="1440"/>
        </w:tabs>
        <w:spacing w:after="0" w:line="240" w:lineRule="auto"/>
        <w:ind w:firstLine="143"/>
        <w:jc w:val="both"/>
        <w:rPr>
          <w:rFonts w:ascii="Times New Roman" w:hAnsi="Times New Roman" w:cs="Times New Roman"/>
          <w:sz w:val="24"/>
          <w:szCs w:val="24"/>
          <w:u w:val="single"/>
        </w:rPr>
      </w:pPr>
    </w:p>
    <w:p w:rsidR="00696DC8" w:rsidRDefault="00696DC8" w:rsidP="00696DC8">
      <w:pPr>
        <w:pStyle w:val="Sangradetextonormal"/>
        <w:tabs>
          <w:tab w:val="num" w:pos="1440"/>
        </w:tabs>
        <w:spacing w:after="0" w:line="240" w:lineRule="auto"/>
        <w:ind w:firstLine="143"/>
        <w:jc w:val="both"/>
        <w:rPr>
          <w:rFonts w:ascii="Times New Roman" w:hAnsi="Times New Roman" w:cs="Times New Roman"/>
          <w:sz w:val="24"/>
          <w:szCs w:val="24"/>
        </w:rPr>
      </w:pPr>
      <w:r w:rsidRPr="00696DC8">
        <w:rPr>
          <w:rFonts w:ascii="Times New Roman" w:hAnsi="Times New Roman" w:cs="Times New Roman"/>
          <w:sz w:val="24"/>
          <w:szCs w:val="24"/>
        </w:rPr>
        <w:t>Se declaran como tales los siguientes:</w:t>
      </w:r>
    </w:p>
    <w:p w:rsidR="00696DC8" w:rsidRDefault="00696DC8" w:rsidP="00696DC8">
      <w:pPr>
        <w:pStyle w:val="Sangradetextonormal"/>
        <w:tabs>
          <w:tab w:val="num" w:pos="1440"/>
        </w:tabs>
        <w:spacing w:after="0" w:line="240" w:lineRule="auto"/>
        <w:ind w:firstLine="143"/>
        <w:jc w:val="both"/>
        <w:rPr>
          <w:rFonts w:ascii="Times New Roman" w:hAnsi="Times New Roman" w:cs="Times New Roman"/>
          <w:sz w:val="24"/>
          <w:szCs w:val="24"/>
        </w:rPr>
      </w:pPr>
    </w:p>
    <w:p w:rsidR="00696DC8" w:rsidRDefault="00696DC8" w:rsidP="00696DC8">
      <w:pPr>
        <w:pStyle w:val="Sangradetextonormal"/>
        <w:numPr>
          <w:ilvl w:val="0"/>
          <w:numId w:val="12"/>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II Centenario del Museo Nacional del Prado: la duración del programa de apoyo a este acontecimiento abarcará desde el 20-11-16 hasta el 19-11-19.</w:t>
      </w:r>
    </w:p>
    <w:p w:rsidR="004A2FA4" w:rsidRDefault="004A2FA4" w:rsidP="004A2FA4">
      <w:pPr>
        <w:pStyle w:val="Sangradetextonormal"/>
        <w:spacing w:after="0" w:line="240" w:lineRule="auto"/>
        <w:ind w:left="709"/>
        <w:jc w:val="both"/>
        <w:rPr>
          <w:rFonts w:ascii="Times New Roman" w:hAnsi="Times New Roman" w:cs="Times New Roman"/>
          <w:sz w:val="24"/>
          <w:szCs w:val="24"/>
        </w:rPr>
      </w:pPr>
    </w:p>
    <w:p w:rsidR="004A2FA4" w:rsidRDefault="004A2FA4" w:rsidP="00696DC8">
      <w:pPr>
        <w:pStyle w:val="Sangradetextonormal"/>
        <w:numPr>
          <w:ilvl w:val="0"/>
          <w:numId w:val="12"/>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20 Aniversario de la Reapertura del Gran Teatro del Liceo de Barcelona y el bicentenario de la creación de la “</w:t>
      </w:r>
      <w:proofErr w:type="spellStart"/>
      <w:r>
        <w:rPr>
          <w:rFonts w:ascii="Times New Roman" w:hAnsi="Times New Roman" w:cs="Times New Roman"/>
          <w:sz w:val="24"/>
          <w:szCs w:val="24"/>
        </w:rPr>
        <w:t>Societat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d´Accionistes</w:t>
      </w:r>
      <w:proofErr w:type="spellEnd"/>
      <w:r>
        <w:rPr>
          <w:rFonts w:ascii="Times New Roman" w:hAnsi="Times New Roman" w:cs="Times New Roman"/>
          <w:sz w:val="24"/>
          <w:szCs w:val="24"/>
        </w:rPr>
        <w:t>”: la duración del programa de apoyo a este acontecimiento abarcará desde el 01-07-16 al 30-06-19.</w:t>
      </w:r>
    </w:p>
    <w:p w:rsidR="004A2FA4" w:rsidRPr="004A2FA4" w:rsidRDefault="004A2FA4" w:rsidP="004A2FA4">
      <w:pPr>
        <w:pStyle w:val="Prrafodelista"/>
        <w:rPr>
          <w:rFonts w:ascii="Times New Roman" w:hAnsi="Times New Roman" w:cs="Times New Roman"/>
          <w:sz w:val="12"/>
          <w:szCs w:val="24"/>
        </w:rPr>
      </w:pPr>
    </w:p>
    <w:p w:rsidR="004A2FA4" w:rsidRDefault="004A2FA4" w:rsidP="00696DC8">
      <w:pPr>
        <w:pStyle w:val="Sangradetextonormal"/>
        <w:numPr>
          <w:ilvl w:val="0"/>
          <w:numId w:val="12"/>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Conmemoración del Foro Iberoamericano de Ciudades: la duración del programa de apoyo a este acontecimiento abarcará desde el 01-01-16 hasta el 31-12-18.</w:t>
      </w:r>
    </w:p>
    <w:p w:rsidR="004A2FA4" w:rsidRPr="004A2FA4" w:rsidRDefault="004A2FA4" w:rsidP="004A2FA4">
      <w:pPr>
        <w:pStyle w:val="Prrafodelista"/>
        <w:rPr>
          <w:rFonts w:ascii="Times New Roman" w:hAnsi="Times New Roman" w:cs="Times New Roman"/>
          <w:sz w:val="16"/>
          <w:szCs w:val="24"/>
        </w:rPr>
      </w:pPr>
    </w:p>
    <w:p w:rsidR="004A2FA4" w:rsidRDefault="004A2FA4" w:rsidP="00696DC8">
      <w:pPr>
        <w:pStyle w:val="Sangradetextonormal"/>
        <w:numPr>
          <w:ilvl w:val="0"/>
          <w:numId w:val="12"/>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Plan Decenio Málaga Cultura Innovadora 2025: la duración del programa de apoyo a este acontecimiento abarcará desde el 01-01-16 hasta el 31-12-18.</w:t>
      </w:r>
    </w:p>
    <w:p w:rsidR="004A2FA4" w:rsidRPr="004A2FA4" w:rsidRDefault="004A2FA4" w:rsidP="004A2FA4">
      <w:pPr>
        <w:pStyle w:val="Prrafodelista"/>
        <w:rPr>
          <w:rFonts w:ascii="Times New Roman" w:hAnsi="Times New Roman" w:cs="Times New Roman"/>
          <w:sz w:val="12"/>
          <w:szCs w:val="24"/>
        </w:rPr>
      </w:pPr>
    </w:p>
    <w:p w:rsidR="004A2FA4" w:rsidRDefault="004A2FA4" w:rsidP="00696DC8">
      <w:pPr>
        <w:pStyle w:val="Sangradetextonormal"/>
        <w:numPr>
          <w:ilvl w:val="0"/>
          <w:numId w:val="12"/>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XX Aniversario de la Declaración de Cuenca como Ciudad Patrimonio de la Humanidad: la duración del programa de apoyo a este acontecimiento abarcará desde el 01-01-16 hasta el 31-12-16.</w:t>
      </w:r>
    </w:p>
    <w:p w:rsidR="00696DC8" w:rsidRDefault="00696DC8" w:rsidP="00696DC8">
      <w:pPr>
        <w:pStyle w:val="Sangradetextonormal"/>
        <w:spacing w:after="0" w:line="240" w:lineRule="auto"/>
        <w:ind w:left="709"/>
        <w:jc w:val="both"/>
        <w:rPr>
          <w:rFonts w:ascii="Times New Roman" w:hAnsi="Times New Roman" w:cs="Times New Roman"/>
          <w:sz w:val="24"/>
          <w:szCs w:val="24"/>
        </w:rPr>
      </w:pPr>
    </w:p>
    <w:p w:rsidR="00EB0B09" w:rsidRDefault="00696DC8" w:rsidP="00EB0B09">
      <w:pPr>
        <w:pStyle w:val="Sangradetextonormal"/>
        <w:numPr>
          <w:ilvl w:val="0"/>
          <w:numId w:val="12"/>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Campeonato del Mundo FIS de Freestyle y Snowboard Sierra Nevada 2017: la duración del programa de apoyo a este acon</w:t>
      </w:r>
      <w:r w:rsidR="00EB0B09">
        <w:rPr>
          <w:rFonts w:ascii="Times New Roman" w:hAnsi="Times New Roman" w:cs="Times New Roman"/>
          <w:sz w:val="24"/>
          <w:szCs w:val="24"/>
        </w:rPr>
        <w:t>tecimiento abarcará desde el 01-01-16 hasta el 31-12-18</w:t>
      </w:r>
      <w:r>
        <w:rPr>
          <w:rFonts w:ascii="Times New Roman" w:hAnsi="Times New Roman" w:cs="Times New Roman"/>
          <w:sz w:val="24"/>
          <w:szCs w:val="24"/>
        </w:rPr>
        <w:t>.</w:t>
      </w:r>
    </w:p>
    <w:p w:rsidR="00EB0B09" w:rsidRPr="00EB0B09" w:rsidRDefault="00EB0B09" w:rsidP="00EB0B09">
      <w:pPr>
        <w:pStyle w:val="Prrafodelista"/>
        <w:rPr>
          <w:rFonts w:ascii="Times New Roman" w:hAnsi="Times New Roman" w:cs="Times New Roman"/>
          <w:sz w:val="6"/>
          <w:szCs w:val="24"/>
        </w:rPr>
      </w:pPr>
    </w:p>
    <w:p w:rsidR="00EB0B09" w:rsidRDefault="00EB0B09" w:rsidP="00EB0B09">
      <w:pPr>
        <w:pStyle w:val="Sangradetextonormal"/>
        <w:numPr>
          <w:ilvl w:val="0"/>
          <w:numId w:val="12"/>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Vigésimo aniversario del Museo Thyssen-Bornemisza: la duración del programa de apoyo a este acontecimiento abarcará desde el 01-01-16 hasta el 31-12-18.</w:t>
      </w:r>
    </w:p>
    <w:p w:rsidR="00EB0B09" w:rsidRPr="00EB0B09" w:rsidRDefault="00EB0B09" w:rsidP="00EB0B09">
      <w:pPr>
        <w:pStyle w:val="Prrafodelista"/>
        <w:rPr>
          <w:rFonts w:ascii="Times New Roman" w:hAnsi="Times New Roman" w:cs="Times New Roman"/>
          <w:sz w:val="8"/>
          <w:szCs w:val="24"/>
        </w:rPr>
      </w:pPr>
    </w:p>
    <w:p w:rsidR="00EB0B09" w:rsidRDefault="00EB0B09" w:rsidP="00EB0B09">
      <w:pPr>
        <w:pStyle w:val="Sangradetextonormal"/>
        <w:numPr>
          <w:ilvl w:val="0"/>
          <w:numId w:val="12"/>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Campeonato de Waterpolo Barcelona 2018: la duración del programa de apoyo a este acontecimiento abarcará desde el 01-01-16 hasta el 31-12-18.</w:t>
      </w:r>
    </w:p>
    <w:p w:rsidR="00EB0B09" w:rsidRPr="00EB0B09" w:rsidRDefault="00EB0B09" w:rsidP="00EB0B09">
      <w:pPr>
        <w:pStyle w:val="Prrafodelista"/>
        <w:rPr>
          <w:rFonts w:ascii="Times New Roman" w:hAnsi="Times New Roman" w:cs="Times New Roman"/>
          <w:sz w:val="8"/>
          <w:szCs w:val="24"/>
        </w:rPr>
      </w:pPr>
    </w:p>
    <w:p w:rsidR="00EB0B09" w:rsidRDefault="00EB0B09" w:rsidP="00EB0B09">
      <w:pPr>
        <w:pStyle w:val="Sangradetextonormal"/>
        <w:numPr>
          <w:ilvl w:val="0"/>
          <w:numId w:val="12"/>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Centenario del nacimiento de Camilo José Cela: la duración del programa de apoyo a este acontecimiento abarcará desde el 01-01-16 hasta el 30-06-17</w:t>
      </w:r>
    </w:p>
    <w:p w:rsidR="00EB0B09" w:rsidRPr="004A2FA4" w:rsidRDefault="00EB0B09" w:rsidP="00EB0B09">
      <w:pPr>
        <w:pStyle w:val="Prrafodelista"/>
        <w:rPr>
          <w:rFonts w:ascii="Times New Roman" w:hAnsi="Times New Roman" w:cs="Times New Roman"/>
          <w:sz w:val="18"/>
          <w:szCs w:val="24"/>
        </w:rPr>
      </w:pPr>
    </w:p>
    <w:p w:rsidR="00EB0B09" w:rsidRDefault="00EB0B09" w:rsidP="00EB0B09">
      <w:pPr>
        <w:pStyle w:val="Sangradetextonormal"/>
        <w:numPr>
          <w:ilvl w:val="0"/>
          <w:numId w:val="12"/>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2017: Año de la retina en España: la duración del programa de apoyo a este acontecimiento abarcará desde</w:t>
      </w:r>
      <w:r w:rsidR="004A2FA4">
        <w:rPr>
          <w:rFonts w:ascii="Times New Roman" w:hAnsi="Times New Roman" w:cs="Times New Roman"/>
          <w:sz w:val="24"/>
          <w:szCs w:val="24"/>
        </w:rPr>
        <w:t xml:space="preserve"> el 01-01-16 hasta el 31-12-17.</w:t>
      </w:r>
    </w:p>
    <w:p w:rsidR="004A2FA4" w:rsidRDefault="004A2FA4" w:rsidP="004A2FA4">
      <w:pPr>
        <w:pStyle w:val="Prrafodelista"/>
        <w:rPr>
          <w:rFonts w:ascii="Times New Roman" w:hAnsi="Times New Roman" w:cs="Times New Roman"/>
          <w:sz w:val="24"/>
          <w:szCs w:val="24"/>
        </w:rPr>
      </w:pPr>
    </w:p>
    <w:p w:rsidR="004A2FA4" w:rsidRDefault="004A2FA4" w:rsidP="00EB0B09">
      <w:pPr>
        <w:pStyle w:val="Sangradetextonormal"/>
        <w:numPr>
          <w:ilvl w:val="0"/>
          <w:numId w:val="12"/>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Caravaca de la Cruz 2017. Año Jubilar: la duración del programa de apoyo a este acontecimiento abarcará desde el 01-01-16 hasta el 30-06-18.</w:t>
      </w:r>
    </w:p>
    <w:p w:rsidR="004A2FA4" w:rsidRDefault="004A2FA4" w:rsidP="004A2FA4">
      <w:pPr>
        <w:pStyle w:val="Prrafodelista"/>
        <w:rPr>
          <w:rFonts w:ascii="Times New Roman" w:hAnsi="Times New Roman" w:cs="Times New Roman"/>
          <w:sz w:val="24"/>
          <w:szCs w:val="24"/>
        </w:rPr>
      </w:pPr>
    </w:p>
    <w:p w:rsidR="004A2FA4" w:rsidRDefault="00AD4E9A" w:rsidP="00EB0B09">
      <w:pPr>
        <w:pStyle w:val="Sangradetextonormal"/>
        <w:numPr>
          <w:ilvl w:val="0"/>
          <w:numId w:val="12"/>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Plan 2020 Apoyo al Deporte de Base: la duración del programa de apoyo a este acontecimiento abarcará desde el 01-01-16 hasta el 31-12-18.</w:t>
      </w:r>
    </w:p>
    <w:p w:rsidR="00AD4E9A" w:rsidRDefault="00AD4E9A" w:rsidP="00AD4E9A">
      <w:pPr>
        <w:pStyle w:val="Prrafodelista"/>
        <w:rPr>
          <w:rFonts w:ascii="Times New Roman" w:hAnsi="Times New Roman" w:cs="Times New Roman"/>
          <w:sz w:val="24"/>
          <w:szCs w:val="24"/>
        </w:rPr>
      </w:pPr>
    </w:p>
    <w:p w:rsidR="00AD4E9A" w:rsidRDefault="00AD4E9A" w:rsidP="00EB0B09">
      <w:pPr>
        <w:pStyle w:val="Sangradetextonormal"/>
        <w:numPr>
          <w:ilvl w:val="0"/>
          <w:numId w:val="12"/>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2015 aniversario de Numancia: la duración del programa de apoyo a este acontecimiento abarcará desde el 01-01-16 hasta el 31-12-16.</w:t>
      </w:r>
    </w:p>
    <w:p w:rsidR="00AD4E9A" w:rsidRDefault="00AD4E9A" w:rsidP="00AD4E9A">
      <w:pPr>
        <w:pStyle w:val="Prrafodelista"/>
        <w:rPr>
          <w:rFonts w:ascii="Times New Roman" w:hAnsi="Times New Roman" w:cs="Times New Roman"/>
          <w:sz w:val="24"/>
          <w:szCs w:val="24"/>
        </w:rPr>
      </w:pPr>
    </w:p>
    <w:p w:rsidR="00AD4E9A" w:rsidRDefault="00AD4E9A" w:rsidP="00EB0B09">
      <w:pPr>
        <w:pStyle w:val="Sangradetextonormal"/>
        <w:numPr>
          <w:ilvl w:val="0"/>
          <w:numId w:val="12"/>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V Centenario del fallecimiento de Fernando el Católico: la duración del programa de apoyo a este acontecimiento abarcará desde el 01-01-16 hasta el 31-12-16.</w:t>
      </w:r>
    </w:p>
    <w:p w:rsidR="00AD4E9A" w:rsidRDefault="00AD4E9A" w:rsidP="00AD4E9A">
      <w:pPr>
        <w:pStyle w:val="Prrafodelista"/>
        <w:rPr>
          <w:rFonts w:ascii="Times New Roman" w:hAnsi="Times New Roman" w:cs="Times New Roman"/>
          <w:sz w:val="24"/>
          <w:szCs w:val="24"/>
        </w:rPr>
      </w:pPr>
    </w:p>
    <w:p w:rsidR="00AD4E9A" w:rsidRDefault="00AD4E9A" w:rsidP="00EB0B09">
      <w:pPr>
        <w:pStyle w:val="Sangradetextonormal"/>
        <w:numPr>
          <w:ilvl w:val="0"/>
          <w:numId w:val="12"/>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525 Aniversario del Descubrimiento de América en Palos de la Frontera (Huelva): la duración del programa de apoyo a este acontecimiento abarcará desde el 01-01-16 hasta el 31-12-17.</w:t>
      </w:r>
    </w:p>
    <w:p w:rsidR="00AD4E9A" w:rsidRDefault="00AD4E9A" w:rsidP="00AD4E9A">
      <w:pPr>
        <w:pStyle w:val="Prrafodelista"/>
        <w:rPr>
          <w:rFonts w:ascii="Times New Roman" w:hAnsi="Times New Roman" w:cs="Times New Roman"/>
          <w:sz w:val="24"/>
          <w:szCs w:val="24"/>
        </w:rPr>
      </w:pPr>
    </w:p>
    <w:p w:rsidR="00AD4E9A" w:rsidRDefault="00AD4E9A" w:rsidP="00EB0B09">
      <w:pPr>
        <w:pStyle w:val="Sangradetextonormal"/>
        <w:numPr>
          <w:ilvl w:val="0"/>
          <w:numId w:val="12"/>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Prevención de la Obesidad. Aligera tu vida: la duración del programa de apoyo a este acontecimiento abarcará desde el 01-01-16 hasta el 31-12-18.</w:t>
      </w:r>
    </w:p>
    <w:p w:rsidR="00AD4E9A" w:rsidRDefault="00AD4E9A" w:rsidP="00AD4E9A">
      <w:pPr>
        <w:pStyle w:val="Prrafodelista"/>
        <w:rPr>
          <w:rFonts w:ascii="Times New Roman" w:hAnsi="Times New Roman" w:cs="Times New Roman"/>
          <w:sz w:val="24"/>
          <w:szCs w:val="24"/>
        </w:rPr>
      </w:pPr>
    </w:p>
    <w:p w:rsidR="00AD4E9A" w:rsidRDefault="00AD4E9A" w:rsidP="00EB0B09">
      <w:pPr>
        <w:pStyle w:val="Sangradetextonormal"/>
        <w:numPr>
          <w:ilvl w:val="0"/>
          <w:numId w:val="12"/>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75 Aniversario de William Martin; El legado inglés: la duración del programa de apoyo a este acontecimiento abarcará desde el 01-01-16 hasta el 31-12-18.</w:t>
      </w:r>
    </w:p>
    <w:p w:rsidR="00AD4E9A" w:rsidRDefault="00AD4E9A" w:rsidP="00AD4E9A">
      <w:pPr>
        <w:pStyle w:val="Prrafodelista"/>
        <w:rPr>
          <w:rFonts w:ascii="Times New Roman" w:hAnsi="Times New Roman" w:cs="Times New Roman"/>
          <w:sz w:val="24"/>
          <w:szCs w:val="24"/>
        </w:rPr>
      </w:pPr>
    </w:p>
    <w:p w:rsidR="00AD4E9A" w:rsidRDefault="00AD4E9A" w:rsidP="00EB0B09">
      <w:pPr>
        <w:pStyle w:val="Sangradetextonormal"/>
        <w:numPr>
          <w:ilvl w:val="0"/>
          <w:numId w:val="12"/>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La vuelta al mundo a vela. “Alicante 2017”: la duración del programa de apoyo a este acontecimiento abarcará desde el 01-01-16 hasta el 31-12-18.</w:t>
      </w:r>
    </w:p>
    <w:p w:rsidR="00AD4E9A" w:rsidRPr="00EB0B09" w:rsidRDefault="00AD4E9A" w:rsidP="00AD4E9A">
      <w:pPr>
        <w:pStyle w:val="Sangradetextonormal"/>
        <w:spacing w:after="0" w:line="240" w:lineRule="auto"/>
        <w:ind w:left="0"/>
        <w:jc w:val="both"/>
        <w:rPr>
          <w:rFonts w:ascii="Times New Roman" w:hAnsi="Times New Roman" w:cs="Times New Roman"/>
          <w:sz w:val="24"/>
          <w:szCs w:val="24"/>
        </w:rPr>
      </w:pPr>
    </w:p>
    <w:p w:rsidR="00B16744" w:rsidRPr="00B16744" w:rsidRDefault="00B16744" w:rsidP="00CC663D">
      <w:pPr>
        <w:pStyle w:val="Sangradetextonormal"/>
        <w:ind w:left="0"/>
        <w:jc w:val="both"/>
        <w:rPr>
          <w:rFonts w:ascii="Times New Roman" w:hAnsi="Times New Roman" w:cs="Times New Roman"/>
          <w:sz w:val="18"/>
          <w:szCs w:val="24"/>
        </w:rPr>
      </w:pPr>
    </w:p>
    <w:p w:rsidR="00375AD2" w:rsidRPr="008F3357" w:rsidRDefault="00375AD2" w:rsidP="0057141F">
      <w:pPr>
        <w:pStyle w:val="Sangradetextonormal"/>
        <w:jc w:val="both"/>
        <w:rPr>
          <w:rFonts w:cs="Times New Roman"/>
          <w:b/>
          <w:bCs/>
          <w:sz w:val="16"/>
          <w:szCs w:val="16"/>
        </w:rPr>
      </w:pPr>
    </w:p>
    <w:p w:rsidR="00375AD2" w:rsidRPr="002006D5" w:rsidRDefault="00375AD2" w:rsidP="00CC663D">
      <w:pPr>
        <w:pStyle w:val="Sangradetextonormal"/>
        <w:numPr>
          <w:ilvl w:val="0"/>
          <w:numId w:val="22"/>
        </w:numPr>
        <w:spacing w:after="0" w:line="240" w:lineRule="auto"/>
        <w:ind w:left="426" w:hanging="426"/>
        <w:jc w:val="both"/>
        <w:rPr>
          <w:rFonts w:ascii="Times New Roman" w:hAnsi="Times New Roman" w:cs="Times New Roman"/>
          <w:b/>
          <w:bCs/>
          <w:sz w:val="28"/>
          <w:szCs w:val="28"/>
        </w:rPr>
      </w:pPr>
      <w:r w:rsidRPr="002006D5">
        <w:rPr>
          <w:rFonts w:ascii="Times New Roman" w:hAnsi="Times New Roman" w:cs="Times New Roman"/>
          <w:b/>
          <w:bCs/>
          <w:sz w:val="28"/>
          <w:szCs w:val="28"/>
        </w:rPr>
        <w:t>Impuesto sobre Transmisiones Patrimoniales y Actos Jurídicos Documentados</w:t>
      </w:r>
    </w:p>
    <w:p w:rsidR="00375AD2" w:rsidRPr="00334D24" w:rsidRDefault="00375AD2" w:rsidP="0057141F">
      <w:pPr>
        <w:pStyle w:val="Sangradetextonormal"/>
        <w:jc w:val="both"/>
        <w:rPr>
          <w:rFonts w:cs="Times New Roman"/>
          <w:b/>
          <w:bCs/>
        </w:rPr>
      </w:pPr>
    </w:p>
    <w:p w:rsidR="00375AD2" w:rsidRPr="00BF6DF2" w:rsidRDefault="00375AD2" w:rsidP="00CC663D">
      <w:pPr>
        <w:pStyle w:val="Sangradetextonormal"/>
        <w:spacing w:after="0" w:line="240" w:lineRule="auto"/>
        <w:ind w:left="426"/>
        <w:jc w:val="both"/>
        <w:rPr>
          <w:rFonts w:ascii="Times New Roman" w:hAnsi="Times New Roman" w:cs="Times New Roman"/>
          <w:sz w:val="24"/>
          <w:szCs w:val="24"/>
          <w:lang w:val="es-ES_tradnl"/>
        </w:rPr>
      </w:pPr>
      <w:r w:rsidRPr="00F53592">
        <w:rPr>
          <w:rFonts w:ascii="Times New Roman" w:hAnsi="Times New Roman" w:cs="Times New Roman"/>
          <w:sz w:val="24"/>
          <w:szCs w:val="24"/>
        </w:rPr>
        <w:t>Escala por transmisiones y rehabilitaciones de grandezas</w:t>
      </w:r>
      <w:r>
        <w:rPr>
          <w:rFonts w:ascii="Times New Roman" w:hAnsi="Times New Roman" w:cs="Times New Roman"/>
          <w:sz w:val="24"/>
          <w:szCs w:val="24"/>
        </w:rPr>
        <w:t xml:space="preserve"> y títulos nobiliarios para 2016</w:t>
      </w:r>
      <w:r w:rsidRPr="00F53592">
        <w:rPr>
          <w:rFonts w:ascii="Times New Roman" w:hAnsi="Times New Roman" w:cs="Times New Roman"/>
          <w:sz w:val="24"/>
          <w:szCs w:val="24"/>
        </w:rPr>
        <w:t>:</w:t>
      </w:r>
    </w:p>
    <w:p w:rsidR="00375AD2" w:rsidRPr="00F53592" w:rsidRDefault="00375AD2" w:rsidP="00BF6DF2">
      <w:pPr>
        <w:pStyle w:val="Sangradetextonormal"/>
        <w:spacing w:after="0" w:line="240" w:lineRule="auto"/>
        <w:ind w:left="720"/>
        <w:jc w:val="both"/>
        <w:rPr>
          <w:rFonts w:ascii="Times New Roman" w:hAnsi="Times New Roman" w:cs="Times New Roman"/>
          <w:sz w:val="24"/>
          <w:szCs w:val="24"/>
          <w:lang w:val="es-ES_tradnl"/>
        </w:rPr>
      </w:pPr>
    </w:p>
    <w:tbl>
      <w:tblPr>
        <w:tblpPr w:leftFromText="141" w:rightFromText="141" w:vertAnchor="text" w:horzAnchor="margin" w:tblpY="69"/>
        <w:tblW w:w="9257" w:type="dxa"/>
        <w:tblLayout w:type="fixed"/>
        <w:tblCellMar>
          <w:left w:w="0" w:type="dxa"/>
          <w:right w:w="0" w:type="dxa"/>
        </w:tblCellMar>
        <w:tblLook w:val="0000" w:firstRow="0" w:lastRow="0" w:firstColumn="0" w:lastColumn="0" w:noHBand="0" w:noVBand="0"/>
      </w:tblPr>
      <w:tblGrid>
        <w:gridCol w:w="2880"/>
        <w:gridCol w:w="1457"/>
        <w:gridCol w:w="2000"/>
        <w:gridCol w:w="2920"/>
      </w:tblGrid>
      <w:tr w:rsidR="00375AD2" w:rsidRPr="00F53592">
        <w:trPr>
          <w:trHeight w:val="765"/>
        </w:trPr>
        <w:tc>
          <w:tcPr>
            <w:tcW w:w="2880" w:type="dxa"/>
            <w:tcBorders>
              <w:top w:val="single" w:sz="8" w:space="0" w:color="auto"/>
              <w:left w:val="single" w:sz="8" w:space="0" w:color="auto"/>
              <w:bottom w:val="single" w:sz="4" w:space="0" w:color="auto"/>
              <w:right w:val="single" w:sz="4" w:space="0" w:color="auto"/>
            </w:tcBorders>
            <w:shd w:val="clear" w:color="auto" w:fill="FFFFFF"/>
            <w:tcMar>
              <w:top w:w="17" w:type="dxa"/>
              <w:left w:w="17" w:type="dxa"/>
              <w:bottom w:w="0" w:type="dxa"/>
              <w:right w:w="17" w:type="dxa"/>
            </w:tcMar>
            <w:vAlign w:val="center"/>
          </w:tcPr>
          <w:p w:rsidR="00375AD2" w:rsidRPr="00F53592" w:rsidRDefault="00375AD2" w:rsidP="0057141F">
            <w:pPr>
              <w:jc w:val="both"/>
              <w:rPr>
                <w:rFonts w:ascii="Times New Roman" w:hAnsi="Times New Roman" w:cs="Times New Roman"/>
                <w:sz w:val="24"/>
                <w:szCs w:val="24"/>
              </w:rPr>
            </w:pPr>
            <w:r w:rsidRPr="00F53592">
              <w:rPr>
                <w:rFonts w:ascii="Times New Roman" w:hAnsi="Times New Roman" w:cs="Times New Roman"/>
                <w:sz w:val="24"/>
                <w:szCs w:val="24"/>
              </w:rPr>
              <w:t>ESCALA</w:t>
            </w:r>
          </w:p>
        </w:tc>
        <w:tc>
          <w:tcPr>
            <w:tcW w:w="1457" w:type="dxa"/>
            <w:tcBorders>
              <w:top w:val="single" w:sz="8"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375AD2" w:rsidRPr="00F53592" w:rsidRDefault="00375AD2" w:rsidP="0057141F">
            <w:pPr>
              <w:jc w:val="both"/>
              <w:rPr>
                <w:rFonts w:ascii="Times New Roman" w:hAnsi="Times New Roman" w:cs="Times New Roman"/>
                <w:sz w:val="24"/>
                <w:szCs w:val="24"/>
              </w:rPr>
            </w:pPr>
            <w:r w:rsidRPr="00F53592">
              <w:rPr>
                <w:rFonts w:ascii="Times New Roman" w:hAnsi="Times New Roman" w:cs="Times New Roman"/>
                <w:sz w:val="24"/>
                <w:szCs w:val="24"/>
              </w:rPr>
              <w:t>Transmisiones directas €</w:t>
            </w:r>
          </w:p>
        </w:tc>
        <w:tc>
          <w:tcPr>
            <w:tcW w:w="2000" w:type="dxa"/>
            <w:tcBorders>
              <w:top w:val="single" w:sz="8"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375AD2" w:rsidRPr="00F53592" w:rsidRDefault="00375AD2" w:rsidP="0057141F">
            <w:pPr>
              <w:jc w:val="both"/>
              <w:rPr>
                <w:rFonts w:ascii="Times New Roman" w:hAnsi="Times New Roman" w:cs="Times New Roman"/>
                <w:sz w:val="24"/>
                <w:szCs w:val="24"/>
              </w:rPr>
            </w:pPr>
            <w:r w:rsidRPr="00F53592">
              <w:rPr>
                <w:rFonts w:ascii="Times New Roman" w:hAnsi="Times New Roman" w:cs="Times New Roman"/>
                <w:sz w:val="24"/>
                <w:szCs w:val="24"/>
              </w:rPr>
              <w:t>Transmisiones transversales €</w:t>
            </w:r>
          </w:p>
        </w:tc>
        <w:tc>
          <w:tcPr>
            <w:tcW w:w="2920" w:type="dxa"/>
            <w:tcBorders>
              <w:top w:val="single" w:sz="8" w:space="0" w:color="auto"/>
              <w:left w:val="nil"/>
              <w:bottom w:val="single" w:sz="4" w:space="0" w:color="auto"/>
              <w:right w:val="single" w:sz="8" w:space="0" w:color="auto"/>
            </w:tcBorders>
            <w:shd w:val="clear" w:color="auto" w:fill="FFFFFF"/>
            <w:tcMar>
              <w:top w:w="17" w:type="dxa"/>
              <w:left w:w="17" w:type="dxa"/>
              <w:bottom w:w="0" w:type="dxa"/>
              <w:right w:w="17" w:type="dxa"/>
            </w:tcMar>
            <w:vAlign w:val="center"/>
          </w:tcPr>
          <w:p w:rsidR="00375AD2" w:rsidRPr="00F53592" w:rsidRDefault="00375AD2" w:rsidP="0057141F">
            <w:pPr>
              <w:jc w:val="both"/>
              <w:rPr>
                <w:rFonts w:ascii="Times New Roman" w:hAnsi="Times New Roman" w:cs="Times New Roman"/>
                <w:sz w:val="24"/>
                <w:szCs w:val="24"/>
              </w:rPr>
            </w:pPr>
            <w:r w:rsidRPr="00F53592">
              <w:rPr>
                <w:rFonts w:ascii="Times New Roman" w:hAnsi="Times New Roman" w:cs="Times New Roman"/>
                <w:sz w:val="24"/>
                <w:szCs w:val="24"/>
              </w:rPr>
              <w:t>Rehabilitaciones y reconocimiento de títulos extranjeros €</w:t>
            </w:r>
          </w:p>
        </w:tc>
      </w:tr>
      <w:tr w:rsidR="00375AD2" w:rsidRPr="00F53592">
        <w:trPr>
          <w:trHeight w:val="255"/>
        </w:trPr>
        <w:tc>
          <w:tcPr>
            <w:tcW w:w="2880"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bottom"/>
          </w:tcPr>
          <w:p w:rsidR="00375AD2" w:rsidRPr="00F53592" w:rsidRDefault="00375AD2" w:rsidP="0057141F">
            <w:pPr>
              <w:jc w:val="both"/>
              <w:rPr>
                <w:rFonts w:ascii="Times New Roman" w:hAnsi="Times New Roman" w:cs="Times New Roman"/>
                <w:sz w:val="24"/>
                <w:szCs w:val="24"/>
              </w:rPr>
            </w:pPr>
            <w:r w:rsidRPr="00F53592">
              <w:rPr>
                <w:rFonts w:ascii="Times New Roman" w:hAnsi="Times New Roman" w:cs="Times New Roman"/>
                <w:sz w:val="24"/>
                <w:szCs w:val="24"/>
              </w:rPr>
              <w:t>1º Por cada título con grandeza</w:t>
            </w:r>
          </w:p>
        </w:tc>
        <w:tc>
          <w:tcPr>
            <w:tcW w:w="1457"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bottom"/>
          </w:tcPr>
          <w:p w:rsidR="00375AD2" w:rsidRPr="00F53592" w:rsidRDefault="00375AD2" w:rsidP="00CC663D">
            <w:pPr>
              <w:jc w:val="center"/>
              <w:rPr>
                <w:rFonts w:ascii="Times New Roman" w:hAnsi="Times New Roman" w:cs="Times New Roman"/>
                <w:sz w:val="24"/>
                <w:szCs w:val="24"/>
              </w:rPr>
            </w:pPr>
            <w:r>
              <w:rPr>
                <w:rFonts w:ascii="Times New Roman" w:hAnsi="Times New Roman" w:cs="Times New Roman"/>
                <w:sz w:val="24"/>
                <w:szCs w:val="24"/>
              </w:rPr>
              <w:t>2.726</w:t>
            </w:r>
          </w:p>
        </w:tc>
        <w:tc>
          <w:tcPr>
            <w:tcW w:w="200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bottom"/>
          </w:tcPr>
          <w:p w:rsidR="00375AD2" w:rsidRPr="00F53592" w:rsidRDefault="00375AD2" w:rsidP="00CC663D">
            <w:pPr>
              <w:jc w:val="center"/>
              <w:rPr>
                <w:rFonts w:ascii="Times New Roman" w:hAnsi="Times New Roman" w:cs="Times New Roman"/>
                <w:sz w:val="24"/>
                <w:szCs w:val="24"/>
              </w:rPr>
            </w:pPr>
            <w:r>
              <w:rPr>
                <w:rFonts w:ascii="Times New Roman" w:hAnsi="Times New Roman" w:cs="Times New Roman"/>
                <w:sz w:val="24"/>
                <w:szCs w:val="24"/>
              </w:rPr>
              <w:t>6.834</w:t>
            </w:r>
          </w:p>
        </w:tc>
        <w:tc>
          <w:tcPr>
            <w:tcW w:w="292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bottom"/>
          </w:tcPr>
          <w:p w:rsidR="00375AD2" w:rsidRPr="00F53592" w:rsidRDefault="00375AD2" w:rsidP="00CC663D">
            <w:pPr>
              <w:jc w:val="center"/>
              <w:rPr>
                <w:rFonts w:ascii="Times New Roman" w:hAnsi="Times New Roman" w:cs="Times New Roman"/>
                <w:sz w:val="24"/>
                <w:szCs w:val="24"/>
              </w:rPr>
            </w:pPr>
            <w:r>
              <w:rPr>
                <w:rFonts w:ascii="Times New Roman" w:hAnsi="Times New Roman" w:cs="Times New Roman"/>
                <w:sz w:val="24"/>
                <w:szCs w:val="24"/>
              </w:rPr>
              <w:t>16.384</w:t>
            </w:r>
          </w:p>
        </w:tc>
      </w:tr>
      <w:tr w:rsidR="00375AD2" w:rsidRPr="00F53592">
        <w:trPr>
          <w:trHeight w:val="255"/>
        </w:trPr>
        <w:tc>
          <w:tcPr>
            <w:tcW w:w="2880"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bottom"/>
          </w:tcPr>
          <w:p w:rsidR="00375AD2" w:rsidRPr="00F53592" w:rsidRDefault="00375AD2" w:rsidP="0057141F">
            <w:pPr>
              <w:jc w:val="both"/>
              <w:rPr>
                <w:rFonts w:ascii="Times New Roman" w:hAnsi="Times New Roman" w:cs="Times New Roman"/>
                <w:sz w:val="24"/>
                <w:szCs w:val="24"/>
              </w:rPr>
            </w:pPr>
            <w:r w:rsidRPr="00F53592">
              <w:rPr>
                <w:rFonts w:ascii="Times New Roman" w:hAnsi="Times New Roman" w:cs="Times New Roman"/>
                <w:sz w:val="24"/>
                <w:szCs w:val="24"/>
              </w:rPr>
              <w:t>2º Por cada grandeza sin título</w:t>
            </w:r>
          </w:p>
        </w:tc>
        <w:tc>
          <w:tcPr>
            <w:tcW w:w="1457"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bottom"/>
          </w:tcPr>
          <w:p w:rsidR="00375AD2" w:rsidRPr="00F53592" w:rsidRDefault="00375AD2" w:rsidP="00CC663D">
            <w:pPr>
              <w:jc w:val="center"/>
              <w:rPr>
                <w:rFonts w:ascii="Times New Roman" w:hAnsi="Times New Roman" w:cs="Times New Roman"/>
                <w:sz w:val="24"/>
                <w:szCs w:val="24"/>
              </w:rPr>
            </w:pPr>
            <w:r>
              <w:rPr>
                <w:rFonts w:ascii="Times New Roman" w:hAnsi="Times New Roman" w:cs="Times New Roman"/>
                <w:sz w:val="24"/>
                <w:szCs w:val="24"/>
              </w:rPr>
              <w:t>1.949</w:t>
            </w:r>
          </w:p>
        </w:tc>
        <w:tc>
          <w:tcPr>
            <w:tcW w:w="200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bottom"/>
          </w:tcPr>
          <w:p w:rsidR="00375AD2" w:rsidRPr="00F53592" w:rsidRDefault="00375AD2" w:rsidP="00CC663D">
            <w:pPr>
              <w:jc w:val="center"/>
              <w:rPr>
                <w:rFonts w:ascii="Times New Roman" w:hAnsi="Times New Roman" w:cs="Times New Roman"/>
                <w:sz w:val="24"/>
                <w:szCs w:val="24"/>
              </w:rPr>
            </w:pPr>
            <w:r>
              <w:rPr>
                <w:rFonts w:ascii="Times New Roman" w:hAnsi="Times New Roman" w:cs="Times New Roman"/>
                <w:sz w:val="24"/>
                <w:szCs w:val="24"/>
              </w:rPr>
              <w:t>4.885</w:t>
            </w:r>
          </w:p>
        </w:tc>
        <w:tc>
          <w:tcPr>
            <w:tcW w:w="292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bottom"/>
          </w:tcPr>
          <w:p w:rsidR="00375AD2" w:rsidRPr="00F53592" w:rsidRDefault="00375AD2" w:rsidP="00CC663D">
            <w:pPr>
              <w:jc w:val="center"/>
              <w:rPr>
                <w:rFonts w:ascii="Times New Roman" w:hAnsi="Times New Roman" w:cs="Times New Roman"/>
                <w:sz w:val="24"/>
                <w:szCs w:val="24"/>
              </w:rPr>
            </w:pPr>
            <w:r>
              <w:rPr>
                <w:rFonts w:ascii="Times New Roman" w:hAnsi="Times New Roman" w:cs="Times New Roman"/>
                <w:sz w:val="24"/>
                <w:szCs w:val="24"/>
              </w:rPr>
              <w:t>11.697</w:t>
            </w:r>
          </w:p>
        </w:tc>
      </w:tr>
      <w:tr w:rsidR="00375AD2" w:rsidRPr="00F53592">
        <w:trPr>
          <w:trHeight w:val="255"/>
        </w:trPr>
        <w:tc>
          <w:tcPr>
            <w:tcW w:w="2880"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bottom"/>
          </w:tcPr>
          <w:p w:rsidR="00375AD2" w:rsidRPr="00F53592" w:rsidRDefault="00375AD2" w:rsidP="0057141F">
            <w:pPr>
              <w:jc w:val="both"/>
              <w:rPr>
                <w:rFonts w:ascii="Times New Roman" w:hAnsi="Times New Roman" w:cs="Times New Roman"/>
                <w:sz w:val="24"/>
                <w:szCs w:val="24"/>
              </w:rPr>
            </w:pPr>
            <w:r w:rsidRPr="00F53592">
              <w:rPr>
                <w:rFonts w:ascii="Times New Roman" w:hAnsi="Times New Roman" w:cs="Times New Roman"/>
                <w:sz w:val="24"/>
                <w:szCs w:val="24"/>
              </w:rPr>
              <w:t>3º Por cada título sin grandeza</w:t>
            </w:r>
          </w:p>
        </w:tc>
        <w:tc>
          <w:tcPr>
            <w:tcW w:w="1457"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bottom"/>
          </w:tcPr>
          <w:p w:rsidR="00375AD2" w:rsidRPr="00F53592" w:rsidRDefault="00375AD2" w:rsidP="00CC663D">
            <w:pPr>
              <w:jc w:val="center"/>
              <w:rPr>
                <w:rFonts w:ascii="Times New Roman" w:hAnsi="Times New Roman" w:cs="Times New Roman"/>
                <w:sz w:val="24"/>
                <w:szCs w:val="24"/>
              </w:rPr>
            </w:pPr>
            <w:r>
              <w:rPr>
                <w:rFonts w:ascii="Times New Roman" w:hAnsi="Times New Roman" w:cs="Times New Roman"/>
                <w:sz w:val="24"/>
                <w:szCs w:val="24"/>
              </w:rPr>
              <w:t>777</w:t>
            </w:r>
          </w:p>
        </w:tc>
        <w:tc>
          <w:tcPr>
            <w:tcW w:w="200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bottom"/>
          </w:tcPr>
          <w:p w:rsidR="00375AD2" w:rsidRPr="00F53592" w:rsidRDefault="00375AD2" w:rsidP="00CC663D">
            <w:pPr>
              <w:jc w:val="center"/>
              <w:rPr>
                <w:rFonts w:ascii="Times New Roman" w:hAnsi="Times New Roman" w:cs="Times New Roman"/>
                <w:sz w:val="24"/>
                <w:szCs w:val="24"/>
              </w:rPr>
            </w:pPr>
            <w:r>
              <w:rPr>
                <w:rFonts w:ascii="Times New Roman" w:hAnsi="Times New Roman" w:cs="Times New Roman"/>
                <w:sz w:val="24"/>
                <w:szCs w:val="24"/>
              </w:rPr>
              <w:t>1.949</w:t>
            </w:r>
          </w:p>
        </w:tc>
        <w:tc>
          <w:tcPr>
            <w:tcW w:w="292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bottom"/>
          </w:tcPr>
          <w:p w:rsidR="00375AD2" w:rsidRPr="00F53592" w:rsidRDefault="00375AD2" w:rsidP="00CC663D">
            <w:pPr>
              <w:jc w:val="center"/>
              <w:rPr>
                <w:rFonts w:ascii="Times New Roman" w:hAnsi="Times New Roman" w:cs="Times New Roman"/>
                <w:sz w:val="24"/>
                <w:szCs w:val="24"/>
              </w:rPr>
            </w:pPr>
            <w:r>
              <w:rPr>
                <w:rFonts w:ascii="Times New Roman" w:hAnsi="Times New Roman" w:cs="Times New Roman"/>
                <w:sz w:val="24"/>
                <w:szCs w:val="24"/>
              </w:rPr>
              <w:t>4.689</w:t>
            </w:r>
          </w:p>
        </w:tc>
      </w:tr>
    </w:tbl>
    <w:p w:rsidR="00375AD2" w:rsidRPr="00F53592" w:rsidRDefault="00375AD2" w:rsidP="0057141F">
      <w:pPr>
        <w:pStyle w:val="Sangradetextonormal"/>
        <w:jc w:val="both"/>
        <w:rPr>
          <w:rFonts w:ascii="Times New Roman" w:hAnsi="Times New Roman" w:cs="Times New Roman"/>
          <w:sz w:val="24"/>
          <w:szCs w:val="24"/>
          <w:lang w:val="es-ES_tradnl"/>
        </w:rPr>
      </w:pPr>
    </w:p>
    <w:p w:rsidR="00375AD2" w:rsidRPr="00CC663D" w:rsidRDefault="00375AD2" w:rsidP="0057141F">
      <w:pPr>
        <w:pStyle w:val="Estilo1"/>
        <w:rPr>
          <w:sz w:val="14"/>
          <w:lang w:val="es-ES_tradnl"/>
        </w:rPr>
      </w:pPr>
    </w:p>
    <w:p w:rsidR="00375AD2" w:rsidRPr="00334D24" w:rsidRDefault="00375AD2" w:rsidP="0057141F">
      <w:pPr>
        <w:pStyle w:val="Estilo1"/>
        <w:rPr>
          <w:lang w:val="es-ES_tradnl"/>
        </w:rPr>
      </w:pPr>
    </w:p>
    <w:p w:rsidR="00375AD2" w:rsidRPr="002006D5" w:rsidRDefault="00375AD2" w:rsidP="00CC663D">
      <w:pPr>
        <w:pStyle w:val="Estilo1"/>
        <w:numPr>
          <w:ilvl w:val="0"/>
          <w:numId w:val="22"/>
        </w:numPr>
        <w:ind w:left="426" w:hanging="426"/>
        <w:rPr>
          <w:sz w:val="28"/>
          <w:szCs w:val="28"/>
          <w:lang w:val="es-ES_tradnl"/>
        </w:rPr>
      </w:pPr>
      <w:r w:rsidRPr="002006D5">
        <w:rPr>
          <w:sz w:val="28"/>
          <w:szCs w:val="28"/>
          <w:lang w:val="es-ES_tradnl"/>
        </w:rPr>
        <w:t>Impuestos Locales</w:t>
      </w:r>
    </w:p>
    <w:p w:rsidR="00375AD2" w:rsidRPr="00334D24" w:rsidRDefault="00375AD2" w:rsidP="0057141F">
      <w:pPr>
        <w:pStyle w:val="Estilo1"/>
        <w:ind w:left="720"/>
        <w:rPr>
          <w:lang w:val="es-ES_tradnl"/>
        </w:rPr>
      </w:pPr>
    </w:p>
    <w:p w:rsidR="00375AD2" w:rsidRPr="00334D24" w:rsidRDefault="00375AD2" w:rsidP="000D2398">
      <w:pPr>
        <w:pStyle w:val="Estilo1"/>
        <w:numPr>
          <w:ilvl w:val="0"/>
          <w:numId w:val="23"/>
        </w:numPr>
        <w:ind w:left="426" w:hanging="426"/>
        <w:rPr>
          <w:b w:val="0"/>
          <w:bCs w:val="0"/>
          <w:lang w:val="es-ES_tradnl"/>
        </w:rPr>
      </w:pPr>
      <w:r w:rsidRPr="00334D24">
        <w:rPr>
          <w:b w:val="0"/>
          <w:bCs w:val="0"/>
          <w:lang w:val="es-ES_tradnl"/>
        </w:rPr>
        <w:t>Los coeficientes de actualización de valore</w:t>
      </w:r>
      <w:r>
        <w:rPr>
          <w:b w:val="0"/>
          <w:bCs w:val="0"/>
          <w:lang w:val="es-ES_tradnl"/>
        </w:rPr>
        <w:t>s catastrales se fijan para 2016</w:t>
      </w:r>
      <w:r w:rsidRPr="00334D24">
        <w:rPr>
          <w:b w:val="0"/>
          <w:bCs w:val="0"/>
          <w:lang w:val="es-ES_tradnl"/>
        </w:rPr>
        <w:t xml:space="preserve"> con arreglo al siguiente cuadro:</w:t>
      </w:r>
    </w:p>
    <w:p w:rsidR="00375AD2" w:rsidRPr="00334D24" w:rsidRDefault="00375AD2" w:rsidP="0057141F">
      <w:pPr>
        <w:pStyle w:val="Estilo1"/>
        <w:rPr>
          <w:b w:val="0"/>
          <w:bCs w:val="0"/>
          <w:lang w:val="es-ES_tradnl"/>
        </w:rPr>
      </w:pPr>
    </w:p>
    <w:tbl>
      <w:tblPr>
        <w:tblW w:w="9352" w:type="dxa"/>
        <w:tblInd w:w="-68" w:type="dxa"/>
        <w:tblCellMar>
          <w:left w:w="70" w:type="dxa"/>
          <w:right w:w="70" w:type="dxa"/>
        </w:tblCellMar>
        <w:tblLook w:val="00A0" w:firstRow="1" w:lastRow="0" w:firstColumn="1" w:lastColumn="0" w:noHBand="0" w:noVBand="0"/>
      </w:tblPr>
      <w:tblGrid>
        <w:gridCol w:w="5685"/>
        <w:gridCol w:w="3667"/>
      </w:tblGrid>
      <w:tr w:rsidR="00375AD2" w:rsidRPr="00522C16" w:rsidTr="00B16744">
        <w:trPr>
          <w:trHeight w:val="300"/>
        </w:trPr>
        <w:tc>
          <w:tcPr>
            <w:tcW w:w="5685" w:type="dxa"/>
            <w:tcBorders>
              <w:top w:val="single" w:sz="8" w:space="0" w:color="auto"/>
              <w:left w:val="single" w:sz="8" w:space="0" w:color="auto"/>
              <w:bottom w:val="single" w:sz="4" w:space="0" w:color="auto"/>
              <w:right w:val="single" w:sz="4" w:space="0" w:color="auto"/>
            </w:tcBorders>
            <w:noWrap/>
            <w:vAlign w:val="bottom"/>
          </w:tcPr>
          <w:p w:rsidR="00375AD2" w:rsidRPr="00B16744" w:rsidRDefault="00375AD2" w:rsidP="0057141F">
            <w:pPr>
              <w:jc w:val="both"/>
              <w:rPr>
                <w:rFonts w:ascii="Times New Roman" w:hAnsi="Times New Roman" w:cs="Times New Roman"/>
                <w:b/>
                <w:color w:val="000000"/>
              </w:rPr>
            </w:pPr>
            <w:r w:rsidRPr="00B16744">
              <w:rPr>
                <w:rFonts w:ascii="Times New Roman" w:hAnsi="Times New Roman" w:cs="Times New Roman"/>
                <w:b/>
                <w:color w:val="000000"/>
              </w:rPr>
              <w:t>Año de entrada en vigor ponencia de valores</w:t>
            </w:r>
          </w:p>
        </w:tc>
        <w:tc>
          <w:tcPr>
            <w:tcW w:w="3667" w:type="dxa"/>
            <w:tcBorders>
              <w:top w:val="single" w:sz="8" w:space="0" w:color="auto"/>
              <w:left w:val="nil"/>
              <w:bottom w:val="single" w:sz="4" w:space="0" w:color="auto"/>
              <w:right w:val="single" w:sz="8" w:space="0" w:color="auto"/>
            </w:tcBorders>
            <w:noWrap/>
            <w:vAlign w:val="bottom"/>
          </w:tcPr>
          <w:p w:rsidR="00375AD2" w:rsidRPr="00B16744" w:rsidRDefault="007124C9" w:rsidP="0057141F">
            <w:pPr>
              <w:jc w:val="both"/>
              <w:rPr>
                <w:rFonts w:ascii="Times New Roman" w:hAnsi="Times New Roman" w:cs="Times New Roman"/>
                <w:b/>
                <w:color w:val="000000"/>
              </w:rPr>
            </w:pPr>
            <w:r>
              <w:rPr>
                <w:rFonts w:ascii="Times New Roman" w:hAnsi="Times New Roman" w:cs="Times New Roman"/>
                <w:b/>
                <w:color w:val="000000"/>
              </w:rPr>
              <w:t>C</w:t>
            </w:r>
            <w:r w:rsidR="00375AD2" w:rsidRPr="00B16744">
              <w:rPr>
                <w:rFonts w:ascii="Times New Roman" w:hAnsi="Times New Roman" w:cs="Times New Roman"/>
                <w:b/>
                <w:color w:val="000000"/>
              </w:rPr>
              <w:t>oeficiente de actualización</w:t>
            </w:r>
          </w:p>
        </w:tc>
      </w:tr>
      <w:tr w:rsidR="00375AD2" w:rsidRPr="00522C16" w:rsidTr="00B16744">
        <w:trPr>
          <w:trHeight w:val="300"/>
        </w:trPr>
        <w:tc>
          <w:tcPr>
            <w:tcW w:w="5685" w:type="dxa"/>
            <w:tcBorders>
              <w:top w:val="nil"/>
              <w:left w:val="single" w:sz="8" w:space="0" w:color="auto"/>
              <w:bottom w:val="single" w:sz="4" w:space="0" w:color="auto"/>
              <w:right w:val="single" w:sz="4" w:space="0" w:color="auto"/>
            </w:tcBorders>
            <w:noWrap/>
            <w:vAlign w:val="bottom"/>
          </w:tcPr>
          <w:p w:rsidR="00375AD2" w:rsidRPr="00522C16" w:rsidRDefault="00375AD2" w:rsidP="0057141F">
            <w:pPr>
              <w:jc w:val="both"/>
              <w:rPr>
                <w:rFonts w:ascii="Times New Roman" w:hAnsi="Times New Roman" w:cs="Times New Roman"/>
                <w:color w:val="000000"/>
              </w:rPr>
            </w:pPr>
            <w:r w:rsidRPr="00522C16">
              <w:rPr>
                <w:rFonts w:ascii="Times New Roman" w:hAnsi="Times New Roman" w:cs="Times New Roman"/>
                <w:color w:val="000000"/>
              </w:rPr>
              <w:t>1984, 1985, 1986 y 1987</w:t>
            </w:r>
          </w:p>
        </w:tc>
        <w:tc>
          <w:tcPr>
            <w:tcW w:w="3667" w:type="dxa"/>
            <w:tcBorders>
              <w:top w:val="nil"/>
              <w:left w:val="nil"/>
              <w:bottom w:val="single" w:sz="4" w:space="0" w:color="auto"/>
              <w:right w:val="single" w:sz="8" w:space="0" w:color="auto"/>
            </w:tcBorders>
            <w:noWrap/>
            <w:vAlign w:val="bottom"/>
          </w:tcPr>
          <w:p w:rsidR="00375AD2" w:rsidRPr="00522C16" w:rsidRDefault="00375AD2" w:rsidP="0057141F">
            <w:pPr>
              <w:jc w:val="both"/>
              <w:rPr>
                <w:rFonts w:ascii="Times New Roman" w:hAnsi="Times New Roman" w:cs="Times New Roman"/>
                <w:color w:val="000000"/>
              </w:rPr>
            </w:pPr>
            <w:r w:rsidRPr="00522C16">
              <w:rPr>
                <w:rFonts w:ascii="Times New Roman" w:hAnsi="Times New Roman" w:cs="Times New Roman"/>
                <w:color w:val="000000"/>
              </w:rPr>
              <w:t>1,13</w:t>
            </w:r>
          </w:p>
        </w:tc>
      </w:tr>
      <w:tr w:rsidR="00375AD2" w:rsidRPr="00522C16" w:rsidTr="00B16744">
        <w:trPr>
          <w:trHeight w:val="300"/>
        </w:trPr>
        <w:tc>
          <w:tcPr>
            <w:tcW w:w="5685" w:type="dxa"/>
            <w:tcBorders>
              <w:top w:val="nil"/>
              <w:left w:val="single" w:sz="8" w:space="0" w:color="auto"/>
              <w:bottom w:val="single" w:sz="4" w:space="0" w:color="auto"/>
              <w:right w:val="single" w:sz="4" w:space="0" w:color="auto"/>
            </w:tcBorders>
            <w:noWrap/>
            <w:vAlign w:val="bottom"/>
          </w:tcPr>
          <w:p w:rsidR="00375AD2" w:rsidRPr="00522C16" w:rsidRDefault="00375AD2" w:rsidP="0057141F">
            <w:pPr>
              <w:jc w:val="both"/>
              <w:rPr>
                <w:rFonts w:ascii="Times New Roman" w:hAnsi="Times New Roman" w:cs="Times New Roman"/>
                <w:color w:val="000000"/>
              </w:rPr>
            </w:pPr>
            <w:r w:rsidRPr="00522C16">
              <w:rPr>
                <w:rFonts w:ascii="Times New Roman" w:hAnsi="Times New Roman" w:cs="Times New Roman"/>
                <w:color w:val="000000"/>
              </w:rPr>
              <w:t>1988</w:t>
            </w:r>
          </w:p>
        </w:tc>
        <w:tc>
          <w:tcPr>
            <w:tcW w:w="3667" w:type="dxa"/>
            <w:tcBorders>
              <w:top w:val="nil"/>
              <w:left w:val="nil"/>
              <w:bottom w:val="single" w:sz="4" w:space="0" w:color="auto"/>
              <w:right w:val="single" w:sz="8" w:space="0" w:color="auto"/>
            </w:tcBorders>
            <w:noWrap/>
            <w:vAlign w:val="bottom"/>
          </w:tcPr>
          <w:p w:rsidR="00375AD2" w:rsidRPr="00522C16" w:rsidRDefault="00375AD2" w:rsidP="0057141F">
            <w:pPr>
              <w:jc w:val="both"/>
              <w:rPr>
                <w:rFonts w:ascii="Times New Roman" w:hAnsi="Times New Roman" w:cs="Times New Roman"/>
                <w:color w:val="000000"/>
              </w:rPr>
            </w:pPr>
            <w:r w:rsidRPr="00522C16">
              <w:rPr>
                <w:rFonts w:ascii="Times New Roman" w:hAnsi="Times New Roman" w:cs="Times New Roman"/>
                <w:color w:val="000000"/>
              </w:rPr>
              <w:t>1,12</w:t>
            </w:r>
          </w:p>
        </w:tc>
      </w:tr>
      <w:tr w:rsidR="00375AD2" w:rsidRPr="00522C16" w:rsidTr="00B16744">
        <w:trPr>
          <w:trHeight w:val="300"/>
        </w:trPr>
        <w:tc>
          <w:tcPr>
            <w:tcW w:w="5685" w:type="dxa"/>
            <w:tcBorders>
              <w:top w:val="nil"/>
              <w:left w:val="single" w:sz="8" w:space="0" w:color="auto"/>
              <w:bottom w:val="single" w:sz="4" w:space="0" w:color="auto"/>
              <w:right w:val="single" w:sz="4" w:space="0" w:color="auto"/>
            </w:tcBorders>
            <w:noWrap/>
            <w:vAlign w:val="bottom"/>
          </w:tcPr>
          <w:p w:rsidR="00375AD2" w:rsidRPr="00522C16" w:rsidRDefault="00375AD2" w:rsidP="0057141F">
            <w:pPr>
              <w:jc w:val="both"/>
              <w:rPr>
                <w:rFonts w:ascii="Times New Roman" w:hAnsi="Times New Roman" w:cs="Times New Roman"/>
                <w:color w:val="000000"/>
              </w:rPr>
            </w:pPr>
            <w:r w:rsidRPr="00522C16">
              <w:rPr>
                <w:rFonts w:ascii="Times New Roman" w:hAnsi="Times New Roman" w:cs="Times New Roman"/>
                <w:color w:val="000000"/>
              </w:rPr>
              <w:t>1989</w:t>
            </w:r>
          </w:p>
        </w:tc>
        <w:tc>
          <w:tcPr>
            <w:tcW w:w="3667" w:type="dxa"/>
            <w:tcBorders>
              <w:top w:val="nil"/>
              <w:left w:val="nil"/>
              <w:bottom w:val="single" w:sz="4" w:space="0" w:color="auto"/>
              <w:right w:val="single" w:sz="8" w:space="0" w:color="auto"/>
            </w:tcBorders>
            <w:noWrap/>
            <w:vAlign w:val="bottom"/>
          </w:tcPr>
          <w:p w:rsidR="00375AD2" w:rsidRPr="00522C16" w:rsidRDefault="00375AD2" w:rsidP="0057141F">
            <w:pPr>
              <w:jc w:val="both"/>
              <w:rPr>
                <w:rFonts w:ascii="Times New Roman" w:hAnsi="Times New Roman" w:cs="Times New Roman"/>
                <w:color w:val="000000"/>
              </w:rPr>
            </w:pPr>
            <w:r w:rsidRPr="00522C16">
              <w:rPr>
                <w:rFonts w:ascii="Times New Roman" w:hAnsi="Times New Roman" w:cs="Times New Roman"/>
                <w:color w:val="000000"/>
              </w:rPr>
              <w:t>1,11</w:t>
            </w:r>
          </w:p>
        </w:tc>
      </w:tr>
      <w:tr w:rsidR="00375AD2" w:rsidRPr="00522C16" w:rsidTr="00B16744">
        <w:trPr>
          <w:trHeight w:val="300"/>
        </w:trPr>
        <w:tc>
          <w:tcPr>
            <w:tcW w:w="5685" w:type="dxa"/>
            <w:tcBorders>
              <w:top w:val="nil"/>
              <w:left w:val="single" w:sz="8" w:space="0" w:color="auto"/>
              <w:bottom w:val="single" w:sz="4" w:space="0" w:color="auto"/>
              <w:right w:val="single" w:sz="4" w:space="0" w:color="auto"/>
            </w:tcBorders>
            <w:noWrap/>
            <w:vAlign w:val="bottom"/>
          </w:tcPr>
          <w:p w:rsidR="00375AD2" w:rsidRPr="00522C16" w:rsidRDefault="00375AD2" w:rsidP="0057141F">
            <w:pPr>
              <w:jc w:val="both"/>
              <w:rPr>
                <w:rFonts w:ascii="Times New Roman" w:hAnsi="Times New Roman" w:cs="Times New Roman"/>
                <w:color w:val="000000"/>
              </w:rPr>
            </w:pPr>
            <w:r w:rsidRPr="00522C16">
              <w:rPr>
                <w:rFonts w:ascii="Times New Roman" w:hAnsi="Times New Roman" w:cs="Times New Roman"/>
                <w:color w:val="000000"/>
              </w:rPr>
              <w:t>1990, 1994, 1995. 1996, 1997, 1998, 1999, 2000, 2001 y 2002</w:t>
            </w:r>
          </w:p>
        </w:tc>
        <w:tc>
          <w:tcPr>
            <w:tcW w:w="3667" w:type="dxa"/>
            <w:tcBorders>
              <w:top w:val="nil"/>
              <w:left w:val="nil"/>
              <w:bottom w:val="single" w:sz="4" w:space="0" w:color="auto"/>
              <w:right w:val="single" w:sz="8" w:space="0" w:color="auto"/>
            </w:tcBorders>
            <w:noWrap/>
            <w:vAlign w:val="bottom"/>
          </w:tcPr>
          <w:p w:rsidR="00375AD2" w:rsidRPr="00522C16" w:rsidRDefault="00375AD2" w:rsidP="0057141F">
            <w:pPr>
              <w:jc w:val="both"/>
              <w:rPr>
                <w:rFonts w:ascii="Times New Roman" w:hAnsi="Times New Roman" w:cs="Times New Roman"/>
                <w:color w:val="000000"/>
              </w:rPr>
            </w:pPr>
            <w:r w:rsidRPr="00522C16">
              <w:rPr>
                <w:rFonts w:ascii="Times New Roman" w:hAnsi="Times New Roman" w:cs="Times New Roman"/>
                <w:color w:val="000000"/>
              </w:rPr>
              <w:t>1,10</w:t>
            </w:r>
          </w:p>
        </w:tc>
      </w:tr>
      <w:tr w:rsidR="00375AD2" w:rsidRPr="00522C16" w:rsidTr="00B16744">
        <w:trPr>
          <w:trHeight w:val="300"/>
        </w:trPr>
        <w:tc>
          <w:tcPr>
            <w:tcW w:w="5685" w:type="dxa"/>
            <w:tcBorders>
              <w:top w:val="nil"/>
              <w:left w:val="single" w:sz="8" w:space="0" w:color="auto"/>
              <w:bottom w:val="single" w:sz="4" w:space="0" w:color="auto"/>
              <w:right w:val="single" w:sz="4" w:space="0" w:color="auto"/>
            </w:tcBorders>
            <w:noWrap/>
            <w:vAlign w:val="bottom"/>
          </w:tcPr>
          <w:p w:rsidR="00375AD2" w:rsidRPr="00522C16" w:rsidRDefault="00375AD2" w:rsidP="0057141F">
            <w:pPr>
              <w:jc w:val="both"/>
              <w:rPr>
                <w:rFonts w:ascii="Times New Roman" w:hAnsi="Times New Roman" w:cs="Times New Roman"/>
                <w:color w:val="000000"/>
              </w:rPr>
            </w:pPr>
            <w:r w:rsidRPr="00522C16">
              <w:rPr>
                <w:rFonts w:ascii="Times New Roman" w:hAnsi="Times New Roman" w:cs="Times New Roman"/>
                <w:color w:val="000000"/>
              </w:rPr>
              <w:t>2003</w:t>
            </w:r>
          </w:p>
        </w:tc>
        <w:tc>
          <w:tcPr>
            <w:tcW w:w="3667" w:type="dxa"/>
            <w:tcBorders>
              <w:top w:val="nil"/>
              <w:left w:val="nil"/>
              <w:bottom w:val="single" w:sz="4" w:space="0" w:color="auto"/>
              <w:right w:val="single" w:sz="8" w:space="0" w:color="auto"/>
            </w:tcBorders>
            <w:noWrap/>
            <w:vAlign w:val="bottom"/>
          </w:tcPr>
          <w:p w:rsidR="00375AD2" w:rsidRPr="00522C16" w:rsidRDefault="00375AD2" w:rsidP="0057141F">
            <w:pPr>
              <w:jc w:val="both"/>
              <w:rPr>
                <w:rFonts w:ascii="Times New Roman" w:hAnsi="Times New Roman" w:cs="Times New Roman"/>
                <w:color w:val="000000"/>
              </w:rPr>
            </w:pPr>
            <w:r w:rsidRPr="00522C16">
              <w:rPr>
                <w:rFonts w:ascii="Times New Roman" w:hAnsi="Times New Roman" w:cs="Times New Roman"/>
                <w:color w:val="000000"/>
              </w:rPr>
              <w:t>1,06</w:t>
            </w:r>
          </w:p>
        </w:tc>
      </w:tr>
      <w:tr w:rsidR="00375AD2" w:rsidRPr="00522C16" w:rsidTr="00B16744">
        <w:trPr>
          <w:trHeight w:val="300"/>
        </w:trPr>
        <w:tc>
          <w:tcPr>
            <w:tcW w:w="5685" w:type="dxa"/>
            <w:tcBorders>
              <w:top w:val="nil"/>
              <w:left w:val="single" w:sz="8" w:space="0" w:color="auto"/>
              <w:bottom w:val="single" w:sz="4" w:space="0" w:color="auto"/>
              <w:right w:val="single" w:sz="4" w:space="0" w:color="auto"/>
            </w:tcBorders>
            <w:noWrap/>
            <w:vAlign w:val="bottom"/>
          </w:tcPr>
          <w:p w:rsidR="00375AD2" w:rsidRPr="00522C16" w:rsidRDefault="00375AD2" w:rsidP="0057141F">
            <w:pPr>
              <w:jc w:val="both"/>
              <w:rPr>
                <w:rFonts w:ascii="Times New Roman" w:hAnsi="Times New Roman" w:cs="Times New Roman"/>
                <w:color w:val="000000"/>
              </w:rPr>
            </w:pPr>
            <w:r>
              <w:rPr>
                <w:rFonts w:ascii="Times New Roman" w:hAnsi="Times New Roman" w:cs="Times New Roman"/>
                <w:color w:val="000000"/>
              </w:rPr>
              <w:t>2005</w:t>
            </w:r>
          </w:p>
        </w:tc>
        <w:tc>
          <w:tcPr>
            <w:tcW w:w="3667" w:type="dxa"/>
            <w:tcBorders>
              <w:top w:val="nil"/>
              <w:left w:val="nil"/>
              <w:bottom w:val="single" w:sz="4" w:space="0" w:color="auto"/>
              <w:right w:val="single" w:sz="8" w:space="0" w:color="auto"/>
            </w:tcBorders>
            <w:noWrap/>
            <w:vAlign w:val="bottom"/>
          </w:tcPr>
          <w:p w:rsidR="00375AD2" w:rsidRDefault="00375AD2" w:rsidP="0057141F">
            <w:pPr>
              <w:jc w:val="both"/>
              <w:rPr>
                <w:rFonts w:ascii="Times New Roman" w:hAnsi="Times New Roman" w:cs="Times New Roman"/>
                <w:color w:val="000000"/>
              </w:rPr>
            </w:pPr>
            <w:r>
              <w:rPr>
                <w:rFonts w:ascii="Times New Roman" w:hAnsi="Times New Roman" w:cs="Times New Roman"/>
                <w:color w:val="000000"/>
              </w:rPr>
              <w:t>0,92</w:t>
            </w:r>
          </w:p>
        </w:tc>
      </w:tr>
      <w:tr w:rsidR="00375AD2" w:rsidRPr="00522C16" w:rsidTr="00B16744">
        <w:trPr>
          <w:trHeight w:val="300"/>
        </w:trPr>
        <w:tc>
          <w:tcPr>
            <w:tcW w:w="5685" w:type="dxa"/>
            <w:tcBorders>
              <w:top w:val="nil"/>
              <w:left w:val="single" w:sz="8" w:space="0" w:color="auto"/>
              <w:bottom w:val="single" w:sz="4" w:space="0" w:color="auto"/>
              <w:right w:val="single" w:sz="4" w:space="0" w:color="auto"/>
            </w:tcBorders>
            <w:noWrap/>
            <w:vAlign w:val="bottom"/>
          </w:tcPr>
          <w:p w:rsidR="00375AD2" w:rsidRPr="00522C16" w:rsidRDefault="00375AD2" w:rsidP="0057141F">
            <w:pPr>
              <w:jc w:val="both"/>
              <w:rPr>
                <w:rFonts w:ascii="Times New Roman" w:hAnsi="Times New Roman" w:cs="Times New Roman"/>
                <w:color w:val="000000"/>
              </w:rPr>
            </w:pPr>
            <w:r w:rsidRPr="00522C16">
              <w:rPr>
                <w:rFonts w:ascii="Times New Roman" w:hAnsi="Times New Roman" w:cs="Times New Roman"/>
                <w:color w:val="000000"/>
              </w:rPr>
              <w:t>2006</w:t>
            </w:r>
          </w:p>
        </w:tc>
        <w:tc>
          <w:tcPr>
            <w:tcW w:w="3667" w:type="dxa"/>
            <w:tcBorders>
              <w:top w:val="nil"/>
              <w:left w:val="nil"/>
              <w:bottom w:val="single" w:sz="4" w:space="0" w:color="auto"/>
              <w:right w:val="single" w:sz="8" w:space="0" w:color="auto"/>
            </w:tcBorders>
            <w:noWrap/>
            <w:vAlign w:val="bottom"/>
          </w:tcPr>
          <w:p w:rsidR="00375AD2" w:rsidRPr="00522C16" w:rsidRDefault="00375AD2" w:rsidP="0057141F">
            <w:pPr>
              <w:jc w:val="both"/>
              <w:rPr>
                <w:rFonts w:ascii="Times New Roman" w:hAnsi="Times New Roman" w:cs="Times New Roman"/>
                <w:color w:val="000000"/>
              </w:rPr>
            </w:pPr>
            <w:r>
              <w:rPr>
                <w:rFonts w:ascii="Times New Roman" w:hAnsi="Times New Roman" w:cs="Times New Roman"/>
                <w:color w:val="000000"/>
              </w:rPr>
              <w:t>0,82</w:t>
            </w:r>
          </w:p>
        </w:tc>
      </w:tr>
      <w:tr w:rsidR="00375AD2" w:rsidRPr="00522C16" w:rsidTr="00B16744">
        <w:trPr>
          <w:trHeight w:val="300"/>
        </w:trPr>
        <w:tc>
          <w:tcPr>
            <w:tcW w:w="5685" w:type="dxa"/>
            <w:tcBorders>
              <w:top w:val="nil"/>
              <w:left w:val="single" w:sz="8" w:space="0" w:color="auto"/>
              <w:bottom w:val="single" w:sz="4" w:space="0" w:color="auto"/>
              <w:right w:val="single" w:sz="4" w:space="0" w:color="auto"/>
            </w:tcBorders>
            <w:noWrap/>
            <w:vAlign w:val="bottom"/>
          </w:tcPr>
          <w:p w:rsidR="00375AD2" w:rsidRPr="00522C16" w:rsidRDefault="00375AD2" w:rsidP="0057141F">
            <w:pPr>
              <w:jc w:val="both"/>
              <w:rPr>
                <w:rFonts w:ascii="Times New Roman" w:hAnsi="Times New Roman" w:cs="Times New Roman"/>
                <w:color w:val="000000"/>
              </w:rPr>
            </w:pPr>
            <w:r w:rsidRPr="00522C16">
              <w:rPr>
                <w:rFonts w:ascii="Times New Roman" w:hAnsi="Times New Roman" w:cs="Times New Roman"/>
                <w:color w:val="000000"/>
              </w:rPr>
              <w:t>2007</w:t>
            </w:r>
          </w:p>
        </w:tc>
        <w:tc>
          <w:tcPr>
            <w:tcW w:w="3667" w:type="dxa"/>
            <w:tcBorders>
              <w:top w:val="nil"/>
              <w:left w:val="nil"/>
              <w:bottom w:val="single" w:sz="4" w:space="0" w:color="auto"/>
              <w:right w:val="single" w:sz="8" w:space="0" w:color="auto"/>
            </w:tcBorders>
            <w:noWrap/>
            <w:vAlign w:val="bottom"/>
          </w:tcPr>
          <w:p w:rsidR="00375AD2" w:rsidRPr="00522C16" w:rsidRDefault="00375AD2" w:rsidP="0057141F">
            <w:pPr>
              <w:jc w:val="both"/>
              <w:rPr>
                <w:rFonts w:ascii="Times New Roman" w:hAnsi="Times New Roman" w:cs="Times New Roman"/>
                <w:color w:val="000000"/>
              </w:rPr>
            </w:pPr>
            <w:r>
              <w:rPr>
                <w:rFonts w:ascii="Times New Roman" w:hAnsi="Times New Roman" w:cs="Times New Roman"/>
                <w:color w:val="000000"/>
              </w:rPr>
              <w:t>0,77</w:t>
            </w:r>
          </w:p>
        </w:tc>
      </w:tr>
      <w:tr w:rsidR="00375AD2" w:rsidRPr="00522C16" w:rsidTr="00B16744">
        <w:trPr>
          <w:trHeight w:val="315"/>
        </w:trPr>
        <w:tc>
          <w:tcPr>
            <w:tcW w:w="5685" w:type="dxa"/>
            <w:tcBorders>
              <w:top w:val="single" w:sz="4" w:space="0" w:color="auto"/>
              <w:left w:val="single" w:sz="4" w:space="0" w:color="auto"/>
              <w:bottom w:val="single" w:sz="4" w:space="0" w:color="auto"/>
              <w:right w:val="single" w:sz="4" w:space="0" w:color="auto"/>
            </w:tcBorders>
            <w:noWrap/>
            <w:vAlign w:val="bottom"/>
          </w:tcPr>
          <w:p w:rsidR="00375AD2" w:rsidRPr="00522C16" w:rsidRDefault="00375AD2" w:rsidP="0057141F">
            <w:pPr>
              <w:jc w:val="both"/>
              <w:rPr>
                <w:rFonts w:ascii="Times New Roman" w:hAnsi="Times New Roman" w:cs="Times New Roman"/>
                <w:color w:val="000000"/>
              </w:rPr>
            </w:pPr>
            <w:r w:rsidRPr="00522C16">
              <w:rPr>
                <w:rFonts w:ascii="Times New Roman" w:hAnsi="Times New Roman" w:cs="Times New Roman"/>
                <w:color w:val="000000"/>
              </w:rPr>
              <w:t>2008</w:t>
            </w:r>
          </w:p>
        </w:tc>
        <w:tc>
          <w:tcPr>
            <w:tcW w:w="3667" w:type="dxa"/>
            <w:tcBorders>
              <w:top w:val="single" w:sz="4" w:space="0" w:color="auto"/>
              <w:left w:val="single" w:sz="4" w:space="0" w:color="auto"/>
              <w:bottom w:val="single" w:sz="4" w:space="0" w:color="auto"/>
              <w:right w:val="single" w:sz="4" w:space="0" w:color="auto"/>
            </w:tcBorders>
            <w:noWrap/>
            <w:vAlign w:val="bottom"/>
          </w:tcPr>
          <w:p w:rsidR="00375AD2" w:rsidRPr="00522C16" w:rsidRDefault="00375AD2" w:rsidP="0057141F">
            <w:pPr>
              <w:jc w:val="both"/>
              <w:rPr>
                <w:rFonts w:ascii="Times New Roman" w:hAnsi="Times New Roman" w:cs="Times New Roman"/>
                <w:color w:val="000000"/>
              </w:rPr>
            </w:pPr>
            <w:r>
              <w:rPr>
                <w:rFonts w:ascii="Times New Roman" w:hAnsi="Times New Roman" w:cs="Times New Roman"/>
                <w:color w:val="000000"/>
              </w:rPr>
              <w:t>0,70</w:t>
            </w:r>
          </w:p>
        </w:tc>
      </w:tr>
      <w:tr w:rsidR="00375AD2" w:rsidRPr="00522C16" w:rsidTr="00B16744">
        <w:trPr>
          <w:trHeight w:val="315"/>
        </w:trPr>
        <w:tc>
          <w:tcPr>
            <w:tcW w:w="5685" w:type="dxa"/>
            <w:tcBorders>
              <w:top w:val="single" w:sz="4" w:space="0" w:color="auto"/>
              <w:left w:val="single" w:sz="4" w:space="0" w:color="auto"/>
              <w:bottom w:val="single" w:sz="4" w:space="0" w:color="auto"/>
              <w:right w:val="single" w:sz="4" w:space="0" w:color="auto"/>
            </w:tcBorders>
            <w:noWrap/>
            <w:vAlign w:val="bottom"/>
          </w:tcPr>
          <w:p w:rsidR="00375AD2" w:rsidRPr="00522C16" w:rsidRDefault="00375AD2" w:rsidP="0057141F">
            <w:pPr>
              <w:jc w:val="both"/>
              <w:rPr>
                <w:rFonts w:ascii="Times New Roman" w:hAnsi="Times New Roman" w:cs="Times New Roman"/>
                <w:color w:val="000000"/>
              </w:rPr>
            </w:pPr>
            <w:r>
              <w:rPr>
                <w:rFonts w:ascii="Times New Roman" w:hAnsi="Times New Roman" w:cs="Times New Roman"/>
                <w:color w:val="000000"/>
              </w:rPr>
              <w:t>2009</w:t>
            </w:r>
          </w:p>
        </w:tc>
        <w:tc>
          <w:tcPr>
            <w:tcW w:w="3667" w:type="dxa"/>
            <w:tcBorders>
              <w:top w:val="single" w:sz="4" w:space="0" w:color="auto"/>
              <w:left w:val="single" w:sz="4" w:space="0" w:color="auto"/>
              <w:bottom w:val="single" w:sz="4" w:space="0" w:color="auto"/>
              <w:right w:val="single" w:sz="4" w:space="0" w:color="auto"/>
            </w:tcBorders>
            <w:noWrap/>
            <w:vAlign w:val="bottom"/>
          </w:tcPr>
          <w:p w:rsidR="00375AD2" w:rsidRDefault="00375AD2" w:rsidP="0057141F">
            <w:pPr>
              <w:jc w:val="both"/>
              <w:rPr>
                <w:rFonts w:ascii="Times New Roman" w:hAnsi="Times New Roman" w:cs="Times New Roman"/>
                <w:color w:val="000000"/>
              </w:rPr>
            </w:pPr>
            <w:r>
              <w:rPr>
                <w:rFonts w:ascii="Times New Roman" w:hAnsi="Times New Roman" w:cs="Times New Roman"/>
                <w:color w:val="000000"/>
              </w:rPr>
              <w:t>0,77</w:t>
            </w:r>
          </w:p>
        </w:tc>
      </w:tr>
      <w:tr w:rsidR="00375AD2" w:rsidRPr="00522C16" w:rsidTr="00B16744">
        <w:trPr>
          <w:trHeight w:val="315"/>
        </w:trPr>
        <w:tc>
          <w:tcPr>
            <w:tcW w:w="5685" w:type="dxa"/>
            <w:tcBorders>
              <w:top w:val="single" w:sz="4" w:space="0" w:color="auto"/>
              <w:left w:val="single" w:sz="4" w:space="0" w:color="auto"/>
              <w:bottom w:val="single" w:sz="4" w:space="0" w:color="auto"/>
              <w:right w:val="single" w:sz="4" w:space="0" w:color="auto"/>
            </w:tcBorders>
            <w:noWrap/>
            <w:vAlign w:val="bottom"/>
          </w:tcPr>
          <w:p w:rsidR="00375AD2" w:rsidRPr="00522C16" w:rsidRDefault="00375AD2" w:rsidP="0057141F">
            <w:pPr>
              <w:jc w:val="both"/>
              <w:rPr>
                <w:rFonts w:ascii="Times New Roman" w:hAnsi="Times New Roman" w:cs="Times New Roman"/>
                <w:color w:val="000000"/>
              </w:rPr>
            </w:pPr>
            <w:r>
              <w:rPr>
                <w:rFonts w:ascii="Times New Roman" w:hAnsi="Times New Roman" w:cs="Times New Roman"/>
                <w:color w:val="000000"/>
              </w:rPr>
              <w:t>2010</w:t>
            </w:r>
          </w:p>
        </w:tc>
        <w:tc>
          <w:tcPr>
            <w:tcW w:w="3667" w:type="dxa"/>
            <w:tcBorders>
              <w:top w:val="single" w:sz="4" w:space="0" w:color="auto"/>
              <w:left w:val="single" w:sz="4" w:space="0" w:color="auto"/>
              <w:bottom w:val="single" w:sz="4" w:space="0" w:color="auto"/>
              <w:right w:val="single" w:sz="4" w:space="0" w:color="auto"/>
            </w:tcBorders>
            <w:noWrap/>
            <w:vAlign w:val="bottom"/>
          </w:tcPr>
          <w:p w:rsidR="00375AD2" w:rsidRPr="00522C16" w:rsidRDefault="00375AD2" w:rsidP="0057141F">
            <w:pPr>
              <w:jc w:val="both"/>
              <w:rPr>
                <w:rFonts w:ascii="Times New Roman" w:hAnsi="Times New Roman" w:cs="Times New Roman"/>
                <w:color w:val="000000"/>
              </w:rPr>
            </w:pPr>
            <w:r>
              <w:rPr>
                <w:rFonts w:ascii="Times New Roman" w:hAnsi="Times New Roman" w:cs="Times New Roman"/>
                <w:color w:val="000000"/>
              </w:rPr>
              <w:t>0,85</w:t>
            </w:r>
          </w:p>
        </w:tc>
      </w:tr>
    </w:tbl>
    <w:p w:rsidR="00375AD2" w:rsidRDefault="00375AD2" w:rsidP="0057141F">
      <w:pPr>
        <w:pStyle w:val="Estilo1"/>
        <w:rPr>
          <w:lang w:val="es-ES_tradnl"/>
        </w:rPr>
      </w:pPr>
    </w:p>
    <w:p w:rsidR="00375AD2" w:rsidRDefault="00375AD2" w:rsidP="0057141F">
      <w:pPr>
        <w:pStyle w:val="Estilo1"/>
        <w:rPr>
          <w:lang w:val="es-ES_tradnl"/>
        </w:rPr>
      </w:pPr>
    </w:p>
    <w:p w:rsidR="00C855A8" w:rsidRDefault="00D30170" w:rsidP="000D2398">
      <w:pPr>
        <w:pStyle w:val="Estilo1"/>
        <w:numPr>
          <w:ilvl w:val="0"/>
          <w:numId w:val="23"/>
        </w:numPr>
        <w:ind w:left="426" w:hanging="426"/>
        <w:rPr>
          <w:b w:val="0"/>
          <w:bCs w:val="0"/>
          <w:lang w:val="es-ES_tradnl"/>
        </w:rPr>
      </w:pPr>
      <w:r w:rsidRPr="00D30170">
        <w:rPr>
          <w:b w:val="0"/>
          <w:bCs w:val="0"/>
          <w:lang w:val="es-ES_tradnl"/>
        </w:rPr>
        <w:t>Impuesto sobre el Incremento de Valor de los Terrenos de Naturaleza Urbana</w:t>
      </w:r>
    </w:p>
    <w:p w:rsidR="00D30170" w:rsidRDefault="00D30170" w:rsidP="0057141F">
      <w:pPr>
        <w:pStyle w:val="Estilo1"/>
        <w:rPr>
          <w:b w:val="0"/>
          <w:bCs w:val="0"/>
          <w:lang w:val="es-ES_tradnl"/>
        </w:rPr>
      </w:pPr>
    </w:p>
    <w:p w:rsidR="00D30170" w:rsidRDefault="00D30170" w:rsidP="000D2398">
      <w:pPr>
        <w:pStyle w:val="Estilo1"/>
        <w:ind w:left="426"/>
        <w:rPr>
          <w:b w:val="0"/>
          <w:bCs w:val="0"/>
          <w:lang w:val="es-ES_tradnl"/>
        </w:rPr>
      </w:pPr>
      <w:r>
        <w:rPr>
          <w:b w:val="0"/>
          <w:bCs w:val="0"/>
          <w:lang w:val="es-ES_tradnl"/>
        </w:rPr>
        <w:t xml:space="preserve">Excepcionalmente durante el 2016 se concede una bonificación del 50% de la cuota del </w:t>
      </w:r>
      <w:r w:rsidR="000D2398">
        <w:rPr>
          <w:b w:val="0"/>
          <w:bCs w:val="0"/>
          <w:lang w:val="es-ES_tradnl"/>
        </w:rPr>
        <w:t>Impuesto para</w:t>
      </w:r>
      <w:r>
        <w:rPr>
          <w:b w:val="0"/>
          <w:bCs w:val="0"/>
          <w:lang w:val="es-ES_tradnl"/>
        </w:rPr>
        <w:t xml:space="preserve"> las transmisiones de los bienes inmuebles afectados por los movimientos </w:t>
      </w:r>
      <w:r w:rsidR="000D2398">
        <w:rPr>
          <w:b w:val="0"/>
          <w:bCs w:val="0"/>
          <w:lang w:val="es-ES_tradnl"/>
        </w:rPr>
        <w:t>sísmicos</w:t>
      </w:r>
      <w:r w:rsidR="007F38AC">
        <w:rPr>
          <w:b w:val="0"/>
          <w:bCs w:val="0"/>
          <w:lang w:val="es-ES_tradnl"/>
        </w:rPr>
        <w:t xml:space="preserve"> producidos en Lorca.</w:t>
      </w:r>
    </w:p>
    <w:p w:rsidR="007F38AC" w:rsidRDefault="007F38AC" w:rsidP="000D2398">
      <w:pPr>
        <w:pStyle w:val="Estilo1"/>
        <w:ind w:left="426"/>
        <w:rPr>
          <w:b w:val="0"/>
          <w:bCs w:val="0"/>
          <w:lang w:val="es-ES_tradnl"/>
        </w:rPr>
      </w:pPr>
    </w:p>
    <w:p w:rsidR="007F38AC" w:rsidRDefault="007F38AC" w:rsidP="007F38AC">
      <w:pPr>
        <w:pStyle w:val="Estilo1"/>
        <w:numPr>
          <w:ilvl w:val="0"/>
          <w:numId w:val="23"/>
        </w:numPr>
        <w:ind w:left="426" w:hanging="426"/>
        <w:rPr>
          <w:b w:val="0"/>
          <w:bCs w:val="0"/>
          <w:lang w:val="es-ES_tradnl"/>
        </w:rPr>
      </w:pPr>
      <w:r>
        <w:rPr>
          <w:b w:val="0"/>
          <w:bCs w:val="0"/>
          <w:lang w:val="es-ES_tradnl"/>
        </w:rPr>
        <w:t>Impuesto sobre Bienes Inmuebles</w:t>
      </w:r>
    </w:p>
    <w:p w:rsidR="007F38AC" w:rsidRDefault="007F38AC" w:rsidP="007F38AC">
      <w:pPr>
        <w:pStyle w:val="Estilo1"/>
        <w:rPr>
          <w:b w:val="0"/>
          <w:bCs w:val="0"/>
          <w:lang w:val="es-ES_tradnl"/>
        </w:rPr>
      </w:pPr>
    </w:p>
    <w:p w:rsidR="007F38AC" w:rsidRPr="00D30170" w:rsidRDefault="007F38AC" w:rsidP="007F38AC">
      <w:pPr>
        <w:pStyle w:val="Estilo1"/>
        <w:ind w:left="426"/>
        <w:rPr>
          <w:b w:val="0"/>
          <w:bCs w:val="0"/>
          <w:lang w:val="es-ES_tradnl"/>
        </w:rPr>
      </w:pPr>
      <w:r>
        <w:rPr>
          <w:b w:val="0"/>
          <w:bCs w:val="0"/>
          <w:lang w:val="es-ES_tradnl"/>
        </w:rPr>
        <w:t>Excepcionalmente durante el 2016 se concede una bonificación del 50% de la cuota del Impuesto para los bienes inmuebles afectados por los movimientos sísmicos producidos en Lorca.</w:t>
      </w:r>
    </w:p>
    <w:p w:rsidR="007F38AC" w:rsidRPr="00D30170" w:rsidRDefault="007F38AC" w:rsidP="000D2398">
      <w:pPr>
        <w:pStyle w:val="Estilo1"/>
        <w:ind w:left="426"/>
        <w:rPr>
          <w:b w:val="0"/>
          <w:bCs w:val="0"/>
          <w:lang w:val="es-ES_tradnl"/>
        </w:rPr>
      </w:pPr>
    </w:p>
    <w:p w:rsidR="00C855A8" w:rsidRPr="007F38AC" w:rsidRDefault="00C855A8" w:rsidP="0057141F">
      <w:pPr>
        <w:pStyle w:val="Estilo1"/>
        <w:rPr>
          <w:sz w:val="6"/>
          <w:lang w:val="es-ES_tradnl"/>
        </w:rPr>
      </w:pPr>
    </w:p>
    <w:p w:rsidR="00375AD2" w:rsidRPr="007124C9" w:rsidRDefault="00375AD2" w:rsidP="0057141F">
      <w:pPr>
        <w:pStyle w:val="Estilo1"/>
        <w:rPr>
          <w:sz w:val="2"/>
          <w:lang w:val="es-ES_tradnl"/>
        </w:rPr>
      </w:pPr>
    </w:p>
    <w:p w:rsidR="00375AD2" w:rsidRDefault="00375AD2" w:rsidP="0057141F">
      <w:pPr>
        <w:pStyle w:val="Estilo1"/>
        <w:rPr>
          <w:lang w:val="es-ES_tradnl"/>
        </w:rPr>
      </w:pPr>
    </w:p>
    <w:p w:rsidR="00375AD2" w:rsidRPr="002006D5" w:rsidRDefault="00375AD2" w:rsidP="00CC663D">
      <w:pPr>
        <w:pStyle w:val="Estilo1"/>
        <w:numPr>
          <w:ilvl w:val="0"/>
          <w:numId w:val="22"/>
        </w:numPr>
        <w:ind w:left="426" w:hanging="426"/>
        <w:rPr>
          <w:sz w:val="28"/>
          <w:szCs w:val="28"/>
          <w:lang w:val="es-ES_tradnl"/>
        </w:rPr>
      </w:pPr>
      <w:r w:rsidRPr="002006D5">
        <w:rPr>
          <w:sz w:val="28"/>
          <w:szCs w:val="28"/>
          <w:lang w:val="es-ES_tradnl"/>
        </w:rPr>
        <w:t xml:space="preserve">Impuestos </w:t>
      </w:r>
      <w:r>
        <w:rPr>
          <w:sz w:val="28"/>
          <w:szCs w:val="28"/>
          <w:lang w:val="es-ES_tradnl"/>
        </w:rPr>
        <w:t>Especiales</w:t>
      </w:r>
    </w:p>
    <w:p w:rsidR="00375AD2" w:rsidRDefault="00375AD2" w:rsidP="0057141F">
      <w:pPr>
        <w:pStyle w:val="Estilo1"/>
        <w:rPr>
          <w:lang w:val="es-ES_tradnl"/>
        </w:rPr>
      </w:pPr>
    </w:p>
    <w:p w:rsidR="00375AD2" w:rsidRPr="00CC663D" w:rsidRDefault="00375AD2" w:rsidP="0057141F">
      <w:pPr>
        <w:pStyle w:val="Estilo1"/>
        <w:rPr>
          <w:sz w:val="12"/>
          <w:lang w:val="es-ES_tradnl"/>
        </w:rPr>
      </w:pPr>
    </w:p>
    <w:p w:rsidR="00375AD2" w:rsidRDefault="00B16744" w:rsidP="00CC663D">
      <w:pPr>
        <w:pStyle w:val="Estilo1"/>
        <w:ind w:left="360"/>
        <w:rPr>
          <w:b w:val="0"/>
          <w:bCs w:val="0"/>
          <w:lang w:eastAsia="en-US"/>
        </w:rPr>
      </w:pPr>
      <w:r>
        <w:rPr>
          <w:b w:val="0"/>
          <w:bCs w:val="0"/>
          <w:lang w:eastAsia="en-US"/>
        </w:rPr>
        <w:t>Con vigencia a partir de 1 de enero s</w:t>
      </w:r>
      <w:r w:rsidR="00375AD2" w:rsidRPr="000C1E2F">
        <w:rPr>
          <w:b w:val="0"/>
          <w:bCs w:val="0"/>
          <w:lang w:eastAsia="en-US"/>
        </w:rPr>
        <w:t>e introduce una especificación técnica</w:t>
      </w:r>
      <w:r w:rsidR="00375AD2">
        <w:rPr>
          <w:b w:val="0"/>
          <w:bCs w:val="0"/>
          <w:lang w:eastAsia="en-US"/>
        </w:rPr>
        <w:t xml:space="preserve"> referida a la exención para determinadas instalaciones en el Impuesto </w:t>
      </w:r>
      <w:r>
        <w:rPr>
          <w:b w:val="0"/>
          <w:bCs w:val="0"/>
          <w:lang w:eastAsia="en-US"/>
        </w:rPr>
        <w:t xml:space="preserve">Especial sobre la </w:t>
      </w:r>
      <w:r>
        <w:rPr>
          <w:b w:val="0"/>
          <w:bCs w:val="0"/>
          <w:lang w:eastAsia="en-US"/>
        </w:rPr>
        <w:lastRenderedPageBreak/>
        <w:t>Electricidad</w:t>
      </w:r>
      <w:r w:rsidR="00375AD2">
        <w:rPr>
          <w:b w:val="0"/>
          <w:bCs w:val="0"/>
          <w:lang w:eastAsia="en-US"/>
        </w:rPr>
        <w:t xml:space="preserve">, consistente en que quedará exenta la energía eléctrica consumida en las instalaciones de producción de electricidad para la realización de dicha actividad, así como la energía eléctrica suministrada a </w:t>
      </w:r>
      <w:r w:rsidR="007124C9">
        <w:rPr>
          <w:b w:val="0"/>
          <w:bCs w:val="0"/>
          <w:lang w:eastAsia="en-US"/>
        </w:rPr>
        <w:t>las instalaciones de producción, transporte y distribución de energía para realizar estas actividades.</w:t>
      </w:r>
    </w:p>
    <w:p w:rsidR="00CC663D" w:rsidRDefault="00CC663D" w:rsidP="00CC663D">
      <w:pPr>
        <w:pStyle w:val="Estilo1"/>
        <w:ind w:left="360"/>
        <w:rPr>
          <w:b w:val="0"/>
          <w:bCs w:val="0"/>
          <w:lang w:eastAsia="en-US"/>
        </w:rPr>
      </w:pPr>
    </w:p>
    <w:p w:rsidR="00CC663D" w:rsidRPr="000C1E2F" w:rsidRDefault="00CC663D" w:rsidP="00CC663D">
      <w:pPr>
        <w:pStyle w:val="Estilo1"/>
        <w:ind w:left="360"/>
        <w:rPr>
          <w:b w:val="0"/>
          <w:bCs w:val="0"/>
          <w:lang w:eastAsia="en-US"/>
        </w:rPr>
      </w:pPr>
      <w:r>
        <w:rPr>
          <w:b w:val="0"/>
          <w:bCs w:val="0"/>
          <w:lang w:eastAsia="en-US"/>
        </w:rPr>
        <w:t xml:space="preserve">Para los ejercicios 2014, 2015 y 2016 los tipos impositivos del Impuesto sobre los Gases </w:t>
      </w:r>
      <w:proofErr w:type="spellStart"/>
      <w:r>
        <w:rPr>
          <w:b w:val="0"/>
          <w:bCs w:val="0"/>
          <w:lang w:eastAsia="en-US"/>
        </w:rPr>
        <w:t>Fluorados</w:t>
      </w:r>
      <w:proofErr w:type="spellEnd"/>
      <w:r>
        <w:rPr>
          <w:b w:val="0"/>
          <w:bCs w:val="0"/>
          <w:lang w:eastAsia="en-US"/>
        </w:rPr>
        <w:t xml:space="preserve"> de Efecto Invernadero serán los resultantes de multiplicar los tipos de gravamen</w:t>
      </w:r>
      <w:r w:rsidR="004D6F2A">
        <w:rPr>
          <w:b w:val="0"/>
          <w:bCs w:val="0"/>
          <w:lang w:eastAsia="en-US"/>
        </w:rPr>
        <w:t xml:space="preserve"> fijados en la ley 16/2013, por</w:t>
      </w:r>
      <w:r>
        <w:rPr>
          <w:b w:val="0"/>
          <w:bCs w:val="0"/>
          <w:lang w:eastAsia="en-US"/>
        </w:rPr>
        <w:t xml:space="preserve"> los coeficientes 0,33 para el ejercicio 2014 y por 0,66 para los ejercicios 2015 y 2016.</w:t>
      </w:r>
    </w:p>
    <w:p w:rsidR="00375AD2" w:rsidRDefault="00375AD2" w:rsidP="0057141F">
      <w:pPr>
        <w:pStyle w:val="Estilo1"/>
        <w:rPr>
          <w:lang w:val="es-ES_tradnl"/>
        </w:rPr>
      </w:pPr>
    </w:p>
    <w:p w:rsidR="00375AD2" w:rsidRPr="007124C9" w:rsidRDefault="00375AD2" w:rsidP="0057141F">
      <w:pPr>
        <w:pStyle w:val="Estilo1"/>
        <w:rPr>
          <w:sz w:val="2"/>
          <w:lang w:val="es-ES_tradnl"/>
        </w:rPr>
      </w:pPr>
    </w:p>
    <w:p w:rsidR="00375AD2" w:rsidRPr="00334D24" w:rsidRDefault="00375AD2" w:rsidP="0057141F">
      <w:pPr>
        <w:pStyle w:val="Estilo1"/>
        <w:rPr>
          <w:lang w:val="es-ES_tradnl"/>
        </w:rPr>
      </w:pPr>
    </w:p>
    <w:p w:rsidR="00375AD2" w:rsidRPr="002006D5" w:rsidRDefault="00375AD2" w:rsidP="00CC663D">
      <w:pPr>
        <w:pStyle w:val="Estilo1"/>
        <w:numPr>
          <w:ilvl w:val="0"/>
          <w:numId w:val="22"/>
        </w:numPr>
        <w:ind w:left="426" w:hanging="426"/>
        <w:rPr>
          <w:sz w:val="28"/>
          <w:szCs w:val="28"/>
          <w:lang w:val="es-ES_tradnl"/>
        </w:rPr>
      </w:pPr>
      <w:r w:rsidRPr="002006D5">
        <w:rPr>
          <w:sz w:val="28"/>
          <w:szCs w:val="28"/>
          <w:lang w:val="es-ES_tradnl"/>
        </w:rPr>
        <w:t>Tasas</w:t>
      </w:r>
    </w:p>
    <w:p w:rsidR="00375AD2" w:rsidRPr="00BD294B" w:rsidRDefault="00375AD2" w:rsidP="0057141F">
      <w:pPr>
        <w:pStyle w:val="Estilo1"/>
        <w:ind w:left="720"/>
        <w:rPr>
          <w:lang w:val="es-ES_tradnl"/>
        </w:rPr>
      </w:pPr>
    </w:p>
    <w:p w:rsidR="00375AD2" w:rsidRDefault="00375AD2" w:rsidP="00C855A8">
      <w:pPr>
        <w:spacing w:after="0" w:line="240" w:lineRule="auto"/>
        <w:ind w:left="426"/>
        <w:jc w:val="both"/>
        <w:rPr>
          <w:rFonts w:ascii="Times New Roman" w:hAnsi="Times New Roman" w:cs="Times New Roman"/>
          <w:sz w:val="24"/>
          <w:szCs w:val="24"/>
          <w:lang w:val="es-ES_tradnl"/>
        </w:rPr>
      </w:pPr>
      <w:r>
        <w:rPr>
          <w:rFonts w:ascii="Times New Roman" w:hAnsi="Times New Roman" w:cs="Times New Roman"/>
          <w:sz w:val="24"/>
          <w:szCs w:val="24"/>
          <w:lang w:val="es-ES_tradnl"/>
        </w:rPr>
        <w:t>Se mantienen</w:t>
      </w:r>
      <w:r w:rsidR="007124C9">
        <w:rPr>
          <w:rFonts w:ascii="Times New Roman" w:hAnsi="Times New Roman" w:cs="Times New Roman"/>
          <w:sz w:val="24"/>
          <w:szCs w:val="24"/>
          <w:lang w:val="es-ES_tradnl"/>
        </w:rPr>
        <w:t xml:space="preserve"> a partir de 1 de enero de 2016</w:t>
      </w:r>
      <w:r>
        <w:rPr>
          <w:rFonts w:ascii="Times New Roman" w:hAnsi="Times New Roman" w:cs="Times New Roman"/>
          <w:sz w:val="24"/>
          <w:szCs w:val="24"/>
          <w:lang w:val="es-ES_tradnl"/>
        </w:rPr>
        <w:t xml:space="preserve"> los tipos de cuantía fija de las tasas de la Hacienda estatal, así como las cuantías establecidas para las tasas que gravan los juegos de suerte, evite o azar</w:t>
      </w:r>
      <w:r w:rsidRPr="0077663C">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en la cuantía del importe exigible para el año 2015.</w:t>
      </w:r>
    </w:p>
    <w:p w:rsidR="00375AD2" w:rsidRDefault="00375AD2" w:rsidP="0077663C">
      <w:pPr>
        <w:spacing w:after="0" w:line="240" w:lineRule="auto"/>
        <w:jc w:val="both"/>
        <w:rPr>
          <w:rFonts w:ascii="Times New Roman" w:hAnsi="Times New Roman" w:cs="Times New Roman"/>
          <w:sz w:val="24"/>
          <w:szCs w:val="24"/>
          <w:lang w:val="es-ES_tradnl"/>
        </w:rPr>
      </w:pPr>
    </w:p>
    <w:p w:rsidR="00375AD2" w:rsidRDefault="00375AD2" w:rsidP="00C855A8">
      <w:pPr>
        <w:spacing w:after="0" w:line="240" w:lineRule="auto"/>
        <w:ind w:left="360"/>
        <w:jc w:val="both"/>
        <w:rPr>
          <w:rFonts w:ascii="Times New Roman" w:hAnsi="Times New Roman" w:cs="Times New Roman"/>
          <w:sz w:val="24"/>
          <w:szCs w:val="24"/>
          <w:lang w:val="es-ES_tradnl"/>
        </w:rPr>
      </w:pPr>
      <w:r>
        <w:rPr>
          <w:rFonts w:ascii="Times New Roman" w:hAnsi="Times New Roman" w:cs="Times New Roman"/>
          <w:sz w:val="24"/>
          <w:szCs w:val="24"/>
          <w:lang w:val="es-ES_tradnl"/>
        </w:rPr>
        <w:t>Los importes de las tasas exigibles por la Jefatura Central de Tráfico se ajustarán, al múltiplo de 10 céntimos de euro inmediato superior, excepto cuando el importe a ajustar sea múltiplo de 10 céntimos de euro.</w:t>
      </w:r>
    </w:p>
    <w:p w:rsidR="00375AD2" w:rsidRPr="00BC7E49" w:rsidRDefault="00375AD2" w:rsidP="0057141F">
      <w:pPr>
        <w:ind w:left="708"/>
        <w:jc w:val="both"/>
        <w:rPr>
          <w:rFonts w:ascii="Times New Roman" w:hAnsi="Times New Roman" w:cs="Times New Roman"/>
          <w:sz w:val="24"/>
          <w:szCs w:val="24"/>
          <w:lang w:val="es-ES_tradnl"/>
        </w:rPr>
      </w:pPr>
    </w:p>
    <w:p w:rsidR="00375AD2" w:rsidRPr="002006D5" w:rsidRDefault="00C855A8" w:rsidP="00C855A8">
      <w:pPr>
        <w:pStyle w:val="Prrafodelista"/>
        <w:numPr>
          <w:ilvl w:val="0"/>
          <w:numId w:val="22"/>
        </w:numPr>
        <w:tabs>
          <w:tab w:val="num" w:pos="2160"/>
        </w:tabs>
        <w:spacing w:after="0" w:line="240" w:lineRule="auto"/>
        <w:ind w:left="426" w:hanging="426"/>
        <w:jc w:val="both"/>
        <w:rPr>
          <w:rFonts w:ascii="Times New Roman" w:hAnsi="Times New Roman" w:cs="Times New Roman"/>
          <w:b/>
          <w:bCs/>
          <w:sz w:val="28"/>
          <w:szCs w:val="28"/>
          <w:lang w:val="es-ES_tradnl"/>
        </w:rPr>
      </w:pPr>
      <w:r>
        <w:rPr>
          <w:rFonts w:ascii="Times New Roman" w:hAnsi="Times New Roman" w:cs="Times New Roman"/>
          <w:b/>
          <w:bCs/>
          <w:sz w:val="28"/>
          <w:szCs w:val="28"/>
          <w:lang w:val="es-ES_tradnl"/>
        </w:rPr>
        <w:t xml:space="preserve"> </w:t>
      </w:r>
      <w:r w:rsidR="00375AD2" w:rsidRPr="002006D5">
        <w:rPr>
          <w:rFonts w:ascii="Times New Roman" w:hAnsi="Times New Roman" w:cs="Times New Roman"/>
          <w:b/>
          <w:bCs/>
          <w:sz w:val="28"/>
          <w:szCs w:val="28"/>
          <w:lang w:val="es-ES_tradnl"/>
        </w:rPr>
        <w:t>Otras disposiciones con incidencia tributaria:</w:t>
      </w:r>
    </w:p>
    <w:p w:rsidR="00375AD2" w:rsidRPr="00F53592" w:rsidRDefault="00375AD2" w:rsidP="0057141F">
      <w:pPr>
        <w:tabs>
          <w:tab w:val="left" w:pos="720"/>
        </w:tabs>
        <w:jc w:val="both"/>
        <w:rPr>
          <w:rFonts w:ascii="Times New Roman" w:hAnsi="Times New Roman" w:cs="Times New Roman"/>
          <w:sz w:val="24"/>
          <w:szCs w:val="24"/>
          <w:lang w:val="es-ES_tradnl"/>
        </w:rPr>
      </w:pPr>
    </w:p>
    <w:p w:rsidR="00375AD2" w:rsidRDefault="00375AD2" w:rsidP="00C855A8">
      <w:pPr>
        <w:numPr>
          <w:ilvl w:val="0"/>
          <w:numId w:val="3"/>
        </w:numPr>
        <w:tabs>
          <w:tab w:val="clear" w:pos="720"/>
          <w:tab w:val="num" w:pos="567"/>
        </w:tabs>
        <w:spacing w:after="0" w:line="240" w:lineRule="auto"/>
        <w:ind w:hanging="720"/>
        <w:jc w:val="both"/>
        <w:rPr>
          <w:rFonts w:ascii="Times New Roman" w:hAnsi="Times New Roman" w:cs="Times New Roman"/>
          <w:sz w:val="24"/>
          <w:szCs w:val="24"/>
          <w:lang w:val="es-ES_tradnl"/>
        </w:rPr>
      </w:pPr>
      <w:r w:rsidRPr="00F53592">
        <w:rPr>
          <w:rFonts w:ascii="Times New Roman" w:hAnsi="Times New Roman" w:cs="Times New Roman"/>
          <w:sz w:val="24"/>
          <w:szCs w:val="24"/>
          <w:lang w:val="es-ES_tradnl"/>
        </w:rPr>
        <w:t>Interés legal del din</w:t>
      </w:r>
      <w:r>
        <w:rPr>
          <w:rFonts w:ascii="Times New Roman" w:hAnsi="Times New Roman" w:cs="Times New Roman"/>
          <w:sz w:val="24"/>
          <w:szCs w:val="24"/>
          <w:lang w:val="es-ES_tradnl"/>
        </w:rPr>
        <w:t>ero: se fija</w:t>
      </w:r>
      <w:r w:rsidR="007124C9">
        <w:rPr>
          <w:rFonts w:ascii="Times New Roman" w:hAnsi="Times New Roman" w:cs="Times New Roman"/>
          <w:sz w:val="24"/>
          <w:szCs w:val="24"/>
          <w:lang w:val="es-ES_tradnl"/>
        </w:rPr>
        <w:t>rá</w:t>
      </w:r>
      <w:r>
        <w:rPr>
          <w:rFonts w:ascii="Times New Roman" w:hAnsi="Times New Roman" w:cs="Times New Roman"/>
          <w:sz w:val="24"/>
          <w:szCs w:val="24"/>
          <w:lang w:val="es-ES_tradnl"/>
        </w:rPr>
        <w:t xml:space="preserve"> para 2016 en el 3%. En 2015 es el 3,50</w:t>
      </w:r>
      <w:r w:rsidRPr="00F53592">
        <w:rPr>
          <w:rFonts w:ascii="Times New Roman" w:hAnsi="Times New Roman" w:cs="Times New Roman"/>
          <w:sz w:val="24"/>
          <w:szCs w:val="24"/>
          <w:lang w:val="es-ES_tradnl"/>
        </w:rPr>
        <w:t>%.</w:t>
      </w:r>
    </w:p>
    <w:p w:rsidR="00375AD2" w:rsidRPr="00F53592" w:rsidRDefault="00375AD2" w:rsidP="00C855A8">
      <w:pPr>
        <w:tabs>
          <w:tab w:val="num" w:pos="567"/>
        </w:tabs>
        <w:spacing w:after="0" w:line="240" w:lineRule="auto"/>
        <w:jc w:val="both"/>
        <w:rPr>
          <w:rFonts w:ascii="Times New Roman" w:hAnsi="Times New Roman" w:cs="Times New Roman"/>
          <w:sz w:val="24"/>
          <w:szCs w:val="24"/>
          <w:lang w:val="es-ES_tradnl"/>
        </w:rPr>
      </w:pPr>
    </w:p>
    <w:p w:rsidR="00375AD2" w:rsidRDefault="00375AD2" w:rsidP="00C855A8">
      <w:pPr>
        <w:numPr>
          <w:ilvl w:val="0"/>
          <w:numId w:val="3"/>
        </w:numPr>
        <w:tabs>
          <w:tab w:val="clear" w:pos="720"/>
          <w:tab w:val="num" w:pos="567"/>
        </w:tabs>
        <w:spacing w:after="0" w:line="240" w:lineRule="auto"/>
        <w:ind w:hanging="720"/>
        <w:jc w:val="both"/>
        <w:rPr>
          <w:rFonts w:ascii="Times New Roman" w:hAnsi="Times New Roman" w:cs="Times New Roman"/>
          <w:sz w:val="24"/>
          <w:szCs w:val="24"/>
          <w:lang w:val="es-ES_tradnl"/>
        </w:rPr>
      </w:pPr>
      <w:r w:rsidRPr="00F53592">
        <w:rPr>
          <w:rFonts w:ascii="Times New Roman" w:hAnsi="Times New Roman" w:cs="Times New Roman"/>
          <w:sz w:val="24"/>
          <w:szCs w:val="24"/>
          <w:lang w:val="es-ES_tradnl"/>
        </w:rPr>
        <w:t>Interés de demora: se fija</w:t>
      </w:r>
      <w:r w:rsidR="007124C9">
        <w:rPr>
          <w:rFonts w:ascii="Times New Roman" w:hAnsi="Times New Roman" w:cs="Times New Roman"/>
          <w:sz w:val="24"/>
          <w:szCs w:val="24"/>
          <w:lang w:val="es-ES_tradnl"/>
        </w:rPr>
        <w:t>rá</w:t>
      </w:r>
      <w:r>
        <w:rPr>
          <w:rFonts w:ascii="Times New Roman" w:hAnsi="Times New Roman" w:cs="Times New Roman"/>
          <w:sz w:val="24"/>
          <w:szCs w:val="24"/>
          <w:lang w:val="es-ES_tradnl"/>
        </w:rPr>
        <w:t xml:space="preserve"> para 2016 en el 3,75%. En 2015 es del 4,375</w:t>
      </w:r>
      <w:r w:rsidRPr="00F53592">
        <w:rPr>
          <w:rFonts w:ascii="Times New Roman" w:hAnsi="Times New Roman" w:cs="Times New Roman"/>
          <w:sz w:val="24"/>
          <w:szCs w:val="24"/>
          <w:lang w:val="es-ES_tradnl"/>
        </w:rPr>
        <w:t>%.</w:t>
      </w:r>
    </w:p>
    <w:p w:rsidR="00375AD2" w:rsidRPr="00F53592" w:rsidRDefault="00375AD2" w:rsidP="00C855A8">
      <w:pPr>
        <w:tabs>
          <w:tab w:val="num" w:pos="567"/>
        </w:tabs>
        <w:spacing w:after="0" w:line="240" w:lineRule="auto"/>
        <w:jc w:val="both"/>
        <w:rPr>
          <w:rFonts w:ascii="Times New Roman" w:hAnsi="Times New Roman" w:cs="Times New Roman"/>
          <w:sz w:val="24"/>
          <w:szCs w:val="24"/>
          <w:lang w:val="es-ES_tradnl"/>
        </w:rPr>
      </w:pPr>
    </w:p>
    <w:p w:rsidR="00375AD2" w:rsidRPr="00F53592" w:rsidRDefault="00375AD2" w:rsidP="00C855A8">
      <w:pPr>
        <w:numPr>
          <w:ilvl w:val="0"/>
          <w:numId w:val="3"/>
        </w:numPr>
        <w:tabs>
          <w:tab w:val="clear" w:pos="720"/>
          <w:tab w:val="num" w:pos="567"/>
        </w:tabs>
        <w:spacing w:after="0" w:line="240" w:lineRule="auto"/>
        <w:ind w:left="567" w:hanging="567"/>
        <w:jc w:val="both"/>
        <w:rPr>
          <w:rFonts w:ascii="Times New Roman" w:hAnsi="Times New Roman" w:cs="Times New Roman"/>
          <w:sz w:val="24"/>
          <w:szCs w:val="24"/>
          <w:lang w:val="es-ES_tradnl"/>
        </w:rPr>
      </w:pPr>
      <w:r w:rsidRPr="00F53592">
        <w:rPr>
          <w:rFonts w:ascii="Times New Roman" w:hAnsi="Times New Roman" w:cs="Times New Roman"/>
          <w:sz w:val="24"/>
          <w:szCs w:val="24"/>
          <w:lang w:val="es-ES_tradnl"/>
        </w:rPr>
        <w:t>Indicador público de renta de efectos múltiples</w:t>
      </w:r>
      <w:r>
        <w:rPr>
          <w:rFonts w:ascii="Times New Roman" w:hAnsi="Times New Roman" w:cs="Times New Roman"/>
          <w:sz w:val="24"/>
          <w:szCs w:val="24"/>
          <w:lang w:val="es-ES_tradnl"/>
        </w:rPr>
        <w:t xml:space="preserve"> (IPREM): se establece para 2016</w:t>
      </w:r>
      <w:r w:rsidRPr="00F53592">
        <w:rPr>
          <w:rFonts w:ascii="Times New Roman" w:hAnsi="Times New Roman" w:cs="Times New Roman"/>
          <w:sz w:val="24"/>
          <w:szCs w:val="24"/>
          <w:lang w:val="es-ES_tradnl"/>
        </w:rPr>
        <w:t xml:space="preserve"> un IPREM anual de 6.390,13 €</w:t>
      </w:r>
      <w:r>
        <w:rPr>
          <w:rFonts w:ascii="Times New Roman" w:hAnsi="Times New Roman" w:cs="Times New Roman"/>
          <w:sz w:val="24"/>
          <w:szCs w:val="24"/>
          <w:lang w:val="es-ES_tradnl"/>
        </w:rPr>
        <w:t xml:space="preserve"> igual que el </w:t>
      </w:r>
      <w:proofErr w:type="spellStart"/>
      <w:r>
        <w:rPr>
          <w:rFonts w:ascii="Times New Roman" w:hAnsi="Times New Roman" w:cs="Times New Roman"/>
          <w:sz w:val="24"/>
          <w:szCs w:val="24"/>
          <w:lang w:val="es-ES_tradnl"/>
        </w:rPr>
        <w:t>regulado</w:t>
      </w:r>
      <w:proofErr w:type="spellEnd"/>
      <w:r>
        <w:rPr>
          <w:rFonts w:ascii="Times New Roman" w:hAnsi="Times New Roman" w:cs="Times New Roman"/>
          <w:sz w:val="24"/>
          <w:szCs w:val="24"/>
          <w:lang w:val="es-ES_tradnl"/>
        </w:rPr>
        <w:t xml:space="preserve"> para 2015</w:t>
      </w:r>
      <w:r w:rsidRPr="00F53592">
        <w:rPr>
          <w:rFonts w:ascii="Times New Roman" w:hAnsi="Times New Roman" w:cs="Times New Roman"/>
          <w:sz w:val="24"/>
          <w:szCs w:val="24"/>
          <w:lang w:val="es-ES_tradnl"/>
        </w:rPr>
        <w:t>. En los supuestos en los que la referencia al salario mínimo interprofesional haya sido sustituida por la referencia al IPREM, la cuantía anual de éste será de 7.455,14 € cuando las correspondientes normas se refieran al salario mínimo interprofesional en cómputo anual. No obstante, si expresamente se excluyen las pagas extraordinarias, la cuantía será de 6.390,13 €.</w:t>
      </w:r>
    </w:p>
    <w:bookmarkEnd w:id="0"/>
    <w:bookmarkEnd w:id="1"/>
    <w:bookmarkEnd w:id="2"/>
    <w:p w:rsidR="00375AD2" w:rsidRPr="00D9169C" w:rsidRDefault="00375AD2" w:rsidP="00D9169C">
      <w:pPr>
        <w:widowControl w:val="0"/>
        <w:autoSpaceDE w:val="0"/>
        <w:autoSpaceDN w:val="0"/>
        <w:adjustRightInd w:val="0"/>
        <w:spacing w:line="200" w:lineRule="exact"/>
        <w:jc w:val="both"/>
        <w:rPr>
          <w:rFonts w:ascii="Times New Roman" w:hAnsi="Times New Roman" w:cs="Times New Roman"/>
          <w:color w:val="000000"/>
          <w:sz w:val="24"/>
          <w:szCs w:val="24"/>
        </w:rPr>
      </w:pPr>
      <w:r w:rsidRPr="00F53592">
        <w:rPr>
          <w:rFonts w:ascii="Times New Roman" w:hAnsi="Times New Roman" w:cs="Times New Roman"/>
          <w:color w:val="000000"/>
          <w:sz w:val="24"/>
          <w:szCs w:val="24"/>
        </w:rPr>
        <w:t xml:space="preserve"> </w:t>
      </w:r>
    </w:p>
    <w:sectPr w:rsidR="00375AD2" w:rsidRPr="00D9169C" w:rsidSect="00DC7BA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534" w:rsidRDefault="00BD4534">
      <w:r>
        <w:separator/>
      </w:r>
    </w:p>
  </w:endnote>
  <w:endnote w:type="continuationSeparator" w:id="0">
    <w:p w:rsidR="00BD4534" w:rsidRDefault="00BD4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534" w:rsidRDefault="00BD4534">
      <w:r>
        <w:separator/>
      </w:r>
    </w:p>
  </w:footnote>
  <w:footnote w:type="continuationSeparator" w:id="0">
    <w:p w:rsidR="00BD4534" w:rsidRDefault="00BD4534">
      <w:r>
        <w:continuationSeparator/>
      </w:r>
    </w:p>
  </w:footnote>
  <w:footnote w:id="1">
    <w:p w:rsidR="00EB0B09" w:rsidRDefault="00EB0B09">
      <w:pPr>
        <w:pStyle w:val="Textonotapie"/>
      </w:pPr>
      <w:r>
        <w:rPr>
          <w:rStyle w:val="Refdenotaalpie"/>
        </w:rPr>
        <w:footnoteRef/>
      </w:r>
      <w:r>
        <w:t xml:space="preserve"> </w:t>
      </w:r>
      <w:r w:rsidRPr="00EB0B09">
        <w:rPr>
          <w:rFonts w:ascii="Times New Roman" w:hAnsi="Times New Roman" w:cs="Times New Roman"/>
          <w:sz w:val="18"/>
          <w:szCs w:val="24"/>
        </w:rPr>
        <w:t>Este límite no se aplica a la actividad llevada a cabo</w:t>
      </w:r>
      <w:r w:rsidRPr="00EB0B09">
        <w:rPr>
          <w:rFonts w:ascii="Times New Roman" w:hAnsi="Times New Roman" w:cs="Times New Roman"/>
          <w:sz w:val="14"/>
        </w:rPr>
        <w:t xml:space="preserve"> </w:t>
      </w:r>
      <w:r w:rsidRPr="00EB0B09">
        <w:rPr>
          <w:rFonts w:ascii="Times New Roman" w:hAnsi="Times New Roman" w:cs="Times New Roman"/>
          <w:sz w:val="18"/>
          <w:szCs w:val="24"/>
        </w:rPr>
        <w:t>por la Fundación ONCE en el marco del Programa de Becas “Oportunidad al Talento”, así como las actividades culturales desarrolladas por esta entidad en el marco de la Bienal de Arte Contemporáneo, el Espacio Cultural “Cambio de Sentido” y la Exposición itinerante “El Mundo Fluye</w:t>
      </w:r>
      <w:r>
        <w:rPr>
          <w:rFonts w:ascii="Times New Roman" w:hAnsi="Times New Roman" w:cs="Times New Roman"/>
          <w:sz w:val="18"/>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E28DE"/>
    <w:multiLevelType w:val="hybridMultilevel"/>
    <w:tmpl w:val="0C1E4D5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15:restartNumberingAfterBreak="0">
    <w:nsid w:val="124B0438"/>
    <w:multiLevelType w:val="hybridMultilevel"/>
    <w:tmpl w:val="3BBE5344"/>
    <w:lvl w:ilvl="0" w:tplc="97BEC2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12FD2B1A"/>
    <w:multiLevelType w:val="hybridMultilevel"/>
    <w:tmpl w:val="BDF028BA"/>
    <w:lvl w:ilvl="0" w:tplc="0C0A000D">
      <w:start w:val="1"/>
      <w:numFmt w:val="bullet"/>
      <w:lvlText w:val=""/>
      <w:lvlJc w:val="left"/>
      <w:pPr>
        <w:tabs>
          <w:tab w:val="num" w:pos="720"/>
        </w:tabs>
        <w:ind w:left="720" w:hanging="360"/>
      </w:pPr>
      <w:rPr>
        <w:rFonts w:ascii="Wingdings" w:hAnsi="Wingding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15:restartNumberingAfterBreak="0">
    <w:nsid w:val="169176A0"/>
    <w:multiLevelType w:val="hybridMultilevel"/>
    <w:tmpl w:val="5CC433B2"/>
    <w:lvl w:ilvl="0" w:tplc="0C0A0003">
      <w:start w:val="1"/>
      <w:numFmt w:val="bullet"/>
      <w:lvlText w:val="o"/>
      <w:lvlJc w:val="left"/>
      <w:pPr>
        <w:ind w:left="1800" w:hanging="360"/>
      </w:pPr>
      <w:rPr>
        <w:rFonts w:ascii="Courier New" w:hAnsi="Courier New" w:cs="Courier New" w:hint="default"/>
      </w:rPr>
    </w:lvl>
    <w:lvl w:ilvl="1" w:tplc="0C0A0003">
      <w:start w:val="1"/>
      <w:numFmt w:val="bullet"/>
      <w:lvlText w:val="o"/>
      <w:lvlJc w:val="left"/>
      <w:pPr>
        <w:ind w:left="2520" w:hanging="360"/>
      </w:pPr>
      <w:rPr>
        <w:rFonts w:ascii="Courier New" w:hAnsi="Courier New" w:cs="Courier New" w:hint="default"/>
      </w:rPr>
    </w:lvl>
    <w:lvl w:ilvl="2" w:tplc="0C0A0005">
      <w:start w:val="1"/>
      <w:numFmt w:val="bullet"/>
      <w:lvlText w:val=""/>
      <w:lvlJc w:val="left"/>
      <w:pPr>
        <w:ind w:left="3240" w:hanging="360"/>
      </w:pPr>
      <w:rPr>
        <w:rFonts w:ascii="Wingdings" w:hAnsi="Wingdings" w:cs="Wingdings" w:hint="default"/>
      </w:rPr>
    </w:lvl>
    <w:lvl w:ilvl="3" w:tplc="0C0A0001">
      <w:start w:val="1"/>
      <w:numFmt w:val="bullet"/>
      <w:lvlText w:val=""/>
      <w:lvlJc w:val="left"/>
      <w:pPr>
        <w:ind w:left="3960" w:hanging="360"/>
      </w:pPr>
      <w:rPr>
        <w:rFonts w:ascii="Symbol" w:hAnsi="Symbol" w:cs="Symbol" w:hint="default"/>
      </w:rPr>
    </w:lvl>
    <w:lvl w:ilvl="4" w:tplc="0C0A0003">
      <w:start w:val="1"/>
      <w:numFmt w:val="bullet"/>
      <w:lvlText w:val="o"/>
      <w:lvlJc w:val="left"/>
      <w:pPr>
        <w:ind w:left="4680" w:hanging="360"/>
      </w:pPr>
      <w:rPr>
        <w:rFonts w:ascii="Courier New" w:hAnsi="Courier New" w:cs="Courier New" w:hint="default"/>
      </w:rPr>
    </w:lvl>
    <w:lvl w:ilvl="5" w:tplc="0C0A0005">
      <w:start w:val="1"/>
      <w:numFmt w:val="bullet"/>
      <w:lvlText w:val=""/>
      <w:lvlJc w:val="left"/>
      <w:pPr>
        <w:ind w:left="5400" w:hanging="360"/>
      </w:pPr>
      <w:rPr>
        <w:rFonts w:ascii="Wingdings" w:hAnsi="Wingdings" w:cs="Wingdings" w:hint="default"/>
      </w:rPr>
    </w:lvl>
    <w:lvl w:ilvl="6" w:tplc="0C0A0001">
      <w:start w:val="1"/>
      <w:numFmt w:val="bullet"/>
      <w:lvlText w:val=""/>
      <w:lvlJc w:val="left"/>
      <w:pPr>
        <w:ind w:left="6120" w:hanging="360"/>
      </w:pPr>
      <w:rPr>
        <w:rFonts w:ascii="Symbol" w:hAnsi="Symbol" w:cs="Symbol" w:hint="default"/>
      </w:rPr>
    </w:lvl>
    <w:lvl w:ilvl="7" w:tplc="0C0A0003">
      <w:start w:val="1"/>
      <w:numFmt w:val="bullet"/>
      <w:lvlText w:val="o"/>
      <w:lvlJc w:val="left"/>
      <w:pPr>
        <w:ind w:left="6840" w:hanging="360"/>
      </w:pPr>
      <w:rPr>
        <w:rFonts w:ascii="Courier New" w:hAnsi="Courier New" w:cs="Courier New" w:hint="default"/>
      </w:rPr>
    </w:lvl>
    <w:lvl w:ilvl="8" w:tplc="0C0A0005">
      <w:start w:val="1"/>
      <w:numFmt w:val="bullet"/>
      <w:lvlText w:val=""/>
      <w:lvlJc w:val="left"/>
      <w:pPr>
        <w:ind w:left="7560" w:hanging="360"/>
      </w:pPr>
      <w:rPr>
        <w:rFonts w:ascii="Wingdings" w:hAnsi="Wingdings" w:cs="Wingdings" w:hint="default"/>
      </w:rPr>
    </w:lvl>
  </w:abstractNum>
  <w:abstractNum w:abstractNumId="4" w15:restartNumberingAfterBreak="0">
    <w:nsid w:val="28D05DFA"/>
    <w:multiLevelType w:val="hybridMultilevel"/>
    <w:tmpl w:val="47A0112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2B3B389C"/>
    <w:multiLevelType w:val="hybridMultilevel"/>
    <w:tmpl w:val="F7C045B6"/>
    <w:lvl w:ilvl="0" w:tplc="0C0A000B">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3421F84"/>
    <w:multiLevelType w:val="hybridMultilevel"/>
    <w:tmpl w:val="A574E7B2"/>
    <w:lvl w:ilvl="0" w:tplc="0C0A0001">
      <w:start w:val="1"/>
      <w:numFmt w:val="bullet"/>
      <w:lvlText w:val=""/>
      <w:lvlJc w:val="left"/>
      <w:pPr>
        <w:ind w:left="1428" w:hanging="360"/>
      </w:pPr>
      <w:rPr>
        <w:rFonts w:ascii="Symbol" w:hAnsi="Symbol" w:cs="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cs="Wingdings" w:hint="default"/>
      </w:rPr>
    </w:lvl>
    <w:lvl w:ilvl="3" w:tplc="0C0A0001">
      <w:start w:val="1"/>
      <w:numFmt w:val="bullet"/>
      <w:lvlText w:val=""/>
      <w:lvlJc w:val="left"/>
      <w:pPr>
        <w:ind w:left="3588" w:hanging="360"/>
      </w:pPr>
      <w:rPr>
        <w:rFonts w:ascii="Symbol" w:hAnsi="Symbol" w:cs="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cs="Wingdings" w:hint="default"/>
      </w:rPr>
    </w:lvl>
    <w:lvl w:ilvl="6" w:tplc="0C0A0001">
      <w:start w:val="1"/>
      <w:numFmt w:val="bullet"/>
      <w:lvlText w:val=""/>
      <w:lvlJc w:val="left"/>
      <w:pPr>
        <w:ind w:left="5748" w:hanging="360"/>
      </w:pPr>
      <w:rPr>
        <w:rFonts w:ascii="Symbol" w:hAnsi="Symbol" w:cs="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cs="Wingdings" w:hint="default"/>
      </w:rPr>
    </w:lvl>
  </w:abstractNum>
  <w:abstractNum w:abstractNumId="7" w15:restartNumberingAfterBreak="0">
    <w:nsid w:val="3346526E"/>
    <w:multiLevelType w:val="hybridMultilevel"/>
    <w:tmpl w:val="CD608DCE"/>
    <w:lvl w:ilvl="0" w:tplc="0C0A000D">
      <w:start w:val="1"/>
      <w:numFmt w:val="bullet"/>
      <w:lvlText w:val=""/>
      <w:lvlJc w:val="left"/>
      <w:pPr>
        <w:ind w:left="1003" w:hanging="360"/>
      </w:pPr>
      <w:rPr>
        <w:rFonts w:ascii="Wingdings" w:hAnsi="Wingdings"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8" w15:restartNumberingAfterBreak="0">
    <w:nsid w:val="3B7A7128"/>
    <w:multiLevelType w:val="hybridMultilevel"/>
    <w:tmpl w:val="A2122CCA"/>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9" w15:restartNumberingAfterBreak="0">
    <w:nsid w:val="3EBC6089"/>
    <w:multiLevelType w:val="hybridMultilevel"/>
    <w:tmpl w:val="4C76A202"/>
    <w:lvl w:ilvl="0" w:tplc="0C0A0001">
      <w:start w:val="1"/>
      <w:numFmt w:val="bullet"/>
      <w:lvlText w:val=""/>
      <w:lvlJc w:val="left"/>
      <w:pPr>
        <w:ind w:left="1440" w:hanging="360"/>
      </w:pPr>
      <w:rPr>
        <w:rFonts w:ascii="Symbol" w:hAnsi="Symbol" w:cs="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cs="Wingdings" w:hint="default"/>
      </w:rPr>
    </w:lvl>
    <w:lvl w:ilvl="3" w:tplc="0C0A0001">
      <w:start w:val="1"/>
      <w:numFmt w:val="bullet"/>
      <w:lvlText w:val=""/>
      <w:lvlJc w:val="left"/>
      <w:pPr>
        <w:ind w:left="3600" w:hanging="360"/>
      </w:pPr>
      <w:rPr>
        <w:rFonts w:ascii="Symbol" w:hAnsi="Symbol" w:cs="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cs="Wingdings" w:hint="default"/>
      </w:rPr>
    </w:lvl>
    <w:lvl w:ilvl="6" w:tplc="0C0A0001">
      <w:start w:val="1"/>
      <w:numFmt w:val="bullet"/>
      <w:lvlText w:val=""/>
      <w:lvlJc w:val="left"/>
      <w:pPr>
        <w:ind w:left="5760" w:hanging="360"/>
      </w:pPr>
      <w:rPr>
        <w:rFonts w:ascii="Symbol" w:hAnsi="Symbol" w:cs="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cs="Wingdings" w:hint="default"/>
      </w:rPr>
    </w:lvl>
  </w:abstractNum>
  <w:abstractNum w:abstractNumId="10" w15:restartNumberingAfterBreak="0">
    <w:nsid w:val="3F375F6C"/>
    <w:multiLevelType w:val="hybridMultilevel"/>
    <w:tmpl w:val="ED765FCE"/>
    <w:lvl w:ilvl="0" w:tplc="0C0A0001">
      <w:start w:val="1"/>
      <w:numFmt w:val="bullet"/>
      <w:lvlText w:val=""/>
      <w:lvlJc w:val="left"/>
      <w:pPr>
        <w:ind w:left="1003" w:hanging="360"/>
      </w:pPr>
      <w:rPr>
        <w:rFonts w:ascii="Symbol" w:hAnsi="Symbol"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11" w15:restartNumberingAfterBreak="0">
    <w:nsid w:val="4539568E"/>
    <w:multiLevelType w:val="hybridMultilevel"/>
    <w:tmpl w:val="928EE2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77F05AB"/>
    <w:multiLevelType w:val="hybridMultilevel"/>
    <w:tmpl w:val="82A8D8D4"/>
    <w:lvl w:ilvl="0" w:tplc="0C0A000D">
      <w:start w:val="1"/>
      <w:numFmt w:val="bullet"/>
      <w:lvlText w:val=""/>
      <w:lvlJc w:val="left"/>
      <w:pPr>
        <w:tabs>
          <w:tab w:val="num" w:pos="720"/>
        </w:tabs>
        <w:ind w:left="720" w:hanging="360"/>
      </w:pPr>
      <w:rPr>
        <w:rFonts w:ascii="Wingdings" w:hAnsi="Wingdings" w:cs="Wingdings" w:hint="default"/>
      </w:rPr>
    </w:lvl>
    <w:lvl w:ilvl="1" w:tplc="0C0A0001">
      <w:start w:val="1"/>
      <w:numFmt w:val="bullet"/>
      <w:lvlText w:val=""/>
      <w:lvlJc w:val="left"/>
      <w:pPr>
        <w:tabs>
          <w:tab w:val="num" w:pos="1440"/>
        </w:tabs>
        <w:ind w:left="1440" w:hanging="360"/>
      </w:pPr>
      <w:rPr>
        <w:rFonts w:ascii="Symbol" w:hAnsi="Symbol" w:cs="Symbol"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F717016"/>
    <w:multiLevelType w:val="hybridMultilevel"/>
    <w:tmpl w:val="908237A2"/>
    <w:lvl w:ilvl="0" w:tplc="0C0A000D">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992790D"/>
    <w:multiLevelType w:val="hybridMultilevel"/>
    <w:tmpl w:val="0C6AAE72"/>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5" w15:restartNumberingAfterBreak="0">
    <w:nsid w:val="5DF53C1C"/>
    <w:multiLevelType w:val="hybridMultilevel"/>
    <w:tmpl w:val="FDB6C99C"/>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6" w15:restartNumberingAfterBreak="0">
    <w:nsid w:val="60556A00"/>
    <w:multiLevelType w:val="hybridMultilevel"/>
    <w:tmpl w:val="BE4E5288"/>
    <w:lvl w:ilvl="0" w:tplc="0C0A000D">
      <w:start w:val="1"/>
      <w:numFmt w:val="bullet"/>
      <w:lvlText w:val=""/>
      <w:lvlJc w:val="left"/>
      <w:pPr>
        <w:ind w:left="1003" w:hanging="360"/>
      </w:pPr>
      <w:rPr>
        <w:rFonts w:ascii="Wingdings" w:hAnsi="Wingdings"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17" w15:restartNumberingAfterBreak="0">
    <w:nsid w:val="6D354898"/>
    <w:multiLevelType w:val="hybridMultilevel"/>
    <w:tmpl w:val="43403B02"/>
    <w:lvl w:ilvl="0" w:tplc="0C0A000D">
      <w:start w:val="1"/>
      <w:numFmt w:val="bullet"/>
      <w:lvlText w:val=""/>
      <w:lvlJc w:val="left"/>
      <w:pPr>
        <w:ind w:left="720" w:hanging="360"/>
      </w:pPr>
      <w:rPr>
        <w:rFonts w:ascii="Wingdings" w:hAnsi="Wingdings" w:cs="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8" w15:restartNumberingAfterBreak="0">
    <w:nsid w:val="6EA92383"/>
    <w:multiLevelType w:val="hybridMultilevel"/>
    <w:tmpl w:val="15A4AF4C"/>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9" w15:restartNumberingAfterBreak="0">
    <w:nsid w:val="742B7159"/>
    <w:multiLevelType w:val="hybridMultilevel"/>
    <w:tmpl w:val="7D5CD52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69A4E58"/>
    <w:multiLevelType w:val="hybridMultilevel"/>
    <w:tmpl w:val="1A5EF86E"/>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1" w15:restartNumberingAfterBreak="0">
    <w:nsid w:val="79FA3ABB"/>
    <w:multiLevelType w:val="hybridMultilevel"/>
    <w:tmpl w:val="E1806BAA"/>
    <w:lvl w:ilvl="0" w:tplc="0C0A000D">
      <w:start w:val="1"/>
      <w:numFmt w:val="bullet"/>
      <w:lvlText w:val=""/>
      <w:lvlJc w:val="left"/>
      <w:pPr>
        <w:tabs>
          <w:tab w:val="num" w:pos="720"/>
        </w:tabs>
        <w:ind w:left="720" w:hanging="360"/>
      </w:pPr>
      <w:rPr>
        <w:rFonts w:ascii="Wingdings" w:hAnsi="Wingdings" w:cs="Wingdings" w:hint="default"/>
      </w:rPr>
    </w:lvl>
    <w:lvl w:ilvl="1" w:tplc="0C0A0001">
      <w:start w:val="1"/>
      <w:numFmt w:val="bullet"/>
      <w:lvlText w:val=""/>
      <w:lvlJc w:val="left"/>
      <w:pPr>
        <w:tabs>
          <w:tab w:val="num" w:pos="1440"/>
        </w:tabs>
        <w:ind w:left="1440" w:hanging="360"/>
      </w:pPr>
      <w:rPr>
        <w:rFonts w:ascii="Symbol" w:hAnsi="Symbol" w:cs="Symbol" w:hint="default"/>
      </w:rPr>
    </w:lvl>
    <w:lvl w:ilvl="2" w:tplc="0C0A000D">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B3A2AFF"/>
    <w:multiLevelType w:val="hybridMultilevel"/>
    <w:tmpl w:val="7C0C676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13"/>
  </w:num>
  <w:num w:numId="4">
    <w:abstractNumId w:val="2"/>
  </w:num>
  <w:num w:numId="5">
    <w:abstractNumId w:val="17"/>
  </w:num>
  <w:num w:numId="6">
    <w:abstractNumId w:val="5"/>
  </w:num>
  <w:num w:numId="7">
    <w:abstractNumId w:val="9"/>
  </w:num>
  <w:num w:numId="8">
    <w:abstractNumId w:val="6"/>
  </w:num>
  <w:num w:numId="9">
    <w:abstractNumId w:val="15"/>
  </w:num>
  <w:num w:numId="10">
    <w:abstractNumId w:val="3"/>
  </w:num>
  <w:num w:numId="11">
    <w:abstractNumId w:val="19"/>
  </w:num>
  <w:num w:numId="12">
    <w:abstractNumId w:val="0"/>
  </w:num>
  <w:num w:numId="13">
    <w:abstractNumId w:val="20"/>
  </w:num>
  <w:num w:numId="14">
    <w:abstractNumId w:val="4"/>
  </w:num>
  <w:num w:numId="15">
    <w:abstractNumId w:val="22"/>
  </w:num>
  <w:num w:numId="16">
    <w:abstractNumId w:val="18"/>
  </w:num>
  <w:num w:numId="17">
    <w:abstractNumId w:val="11"/>
  </w:num>
  <w:num w:numId="18">
    <w:abstractNumId w:val="16"/>
  </w:num>
  <w:num w:numId="19">
    <w:abstractNumId w:val="8"/>
  </w:num>
  <w:num w:numId="20">
    <w:abstractNumId w:val="7"/>
  </w:num>
  <w:num w:numId="21">
    <w:abstractNumId w:val="10"/>
  </w:num>
  <w:num w:numId="22">
    <w:abstractNumId w:val="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5"/>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E0D"/>
    <w:rsid w:val="00007611"/>
    <w:rsid w:val="00016102"/>
    <w:rsid w:val="00022219"/>
    <w:rsid w:val="00022F7D"/>
    <w:rsid w:val="000400D3"/>
    <w:rsid w:val="000431F7"/>
    <w:rsid w:val="00047C71"/>
    <w:rsid w:val="00056CAE"/>
    <w:rsid w:val="0007724A"/>
    <w:rsid w:val="000928F1"/>
    <w:rsid w:val="000A016F"/>
    <w:rsid w:val="000B74B4"/>
    <w:rsid w:val="000C1E2F"/>
    <w:rsid w:val="000C34F8"/>
    <w:rsid w:val="000D2398"/>
    <w:rsid w:val="000D62DC"/>
    <w:rsid w:val="000E652B"/>
    <w:rsid w:val="000F37D9"/>
    <w:rsid w:val="00101A03"/>
    <w:rsid w:val="00102DC9"/>
    <w:rsid w:val="001036BD"/>
    <w:rsid w:val="001041D3"/>
    <w:rsid w:val="00107FE8"/>
    <w:rsid w:val="00110DE3"/>
    <w:rsid w:val="00111E6B"/>
    <w:rsid w:val="0011455D"/>
    <w:rsid w:val="001248DA"/>
    <w:rsid w:val="0012747A"/>
    <w:rsid w:val="0013138A"/>
    <w:rsid w:val="00134D76"/>
    <w:rsid w:val="0013790C"/>
    <w:rsid w:val="00172284"/>
    <w:rsid w:val="00173B5C"/>
    <w:rsid w:val="001D2376"/>
    <w:rsid w:val="001D3FEB"/>
    <w:rsid w:val="001E107A"/>
    <w:rsid w:val="001E512B"/>
    <w:rsid w:val="001F0529"/>
    <w:rsid w:val="002006D5"/>
    <w:rsid w:val="0021007A"/>
    <w:rsid w:val="002177AF"/>
    <w:rsid w:val="002202E3"/>
    <w:rsid w:val="00225BC5"/>
    <w:rsid w:val="00230504"/>
    <w:rsid w:val="002307A2"/>
    <w:rsid w:val="002422FC"/>
    <w:rsid w:val="00254138"/>
    <w:rsid w:val="0025610E"/>
    <w:rsid w:val="002635EA"/>
    <w:rsid w:val="00264794"/>
    <w:rsid w:val="0026480F"/>
    <w:rsid w:val="002657C3"/>
    <w:rsid w:val="002715D4"/>
    <w:rsid w:val="00274FD4"/>
    <w:rsid w:val="0028003E"/>
    <w:rsid w:val="00291AAC"/>
    <w:rsid w:val="00294D41"/>
    <w:rsid w:val="00296601"/>
    <w:rsid w:val="002970E0"/>
    <w:rsid w:val="002A7819"/>
    <w:rsid w:val="002B6575"/>
    <w:rsid w:val="002C15A8"/>
    <w:rsid w:val="002C7C62"/>
    <w:rsid w:val="002D1EA9"/>
    <w:rsid w:val="002E1939"/>
    <w:rsid w:val="002E2BC7"/>
    <w:rsid w:val="002F7F0C"/>
    <w:rsid w:val="00316C2A"/>
    <w:rsid w:val="003310EE"/>
    <w:rsid w:val="00334D24"/>
    <w:rsid w:val="003410C0"/>
    <w:rsid w:val="00365907"/>
    <w:rsid w:val="003666EA"/>
    <w:rsid w:val="00373928"/>
    <w:rsid w:val="00375AD2"/>
    <w:rsid w:val="00385F2B"/>
    <w:rsid w:val="003B4185"/>
    <w:rsid w:val="003C6D38"/>
    <w:rsid w:val="003D4770"/>
    <w:rsid w:val="003D589C"/>
    <w:rsid w:val="003D73D9"/>
    <w:rsid w:val="003F2292"/>
    <w:rsid w:val="003F31A6"/>
    <w:rsid w:val="003F7E48"/>
    <w:rsid w:val="00400706"/>
    <w:rsid w:val="004024FF"/>
    <w:rsid w:val="004153CB"/>
    <w:rsid w:val="0042155C"/>
    <w:rsid w:val="0043039A"/>
    <w:rsid w:val="004359F9"/>
    <w:rsid w:val="00436B32"/>
    <w:rsid w:val="00437165"/>
    <w:rsid w:val="004463EB"/>
    <w:rsid w:val="0044744D"/>
    <w:rsid w:val="00447FF9"/>
    <w:rsid w:val="004531BD"/>
    <w:rsid w:val="00457FED"/>
    <w:rsid w:val="004716D0"/>
    <w:rsid w:val="004748E2"/>
    <w:rsid w:val="00481021"/>
    <w:rsid w:val="00484230"/>
    <w:rsid w:val="004873CF"/>
    <w:rsid w:val="004879E0"/>
    <w:rsid w:val="00487F4A"/>
    <w:rsid w:val="00490A02"/>
    <w:rsid w:val="00493F8E"/>
    <w:rsid w:val="00496641"/>
    <w:rsid w:val="004A2444"/>
    <w:rsid w:val="004A2FA4"/>
    <w:rsid w:val="004A5E60"/>
    <w:rsid w:val="004A62D7"/>
    <w:rsid w:val="004A6724"/>
    <w:rsid w:val="004A7037"/>
    <w:rsid w:val="004A771C"/>
    <w:rsid w:val="004B0254"/>
    <w:rsid w:val="004B0FAA"/>
    <w:rsid w:val="004C7852"/>
    <w:rsid w:val="004D1A53"/>
    <w:rsid w:val="004D26B9"/>
    <w:rsid w:val="004D6F2A"/>
    <w:rsid w:val="004D7D25"/>
    <w:rsid w:val="004E2505"/>
    <w:rsid w:val="004E54B6"/>
    <w:rsid w:val="00504670"/>
    <w:rsid w:val="00505D36"/>
    <w:rsid w:val="00515B7A"/>
    <w:rsid w:val="0052236F"/>
    <w:rsid w:val="00522C16"/>
    <w:rsid w:val="005265F7"/>
    <w:rsid w:val="00534CBA"/>
    <w:rsid w:val="0053662D"/>
    <w:rsid w:val="00544A67"/>
    <w:rsid w:val="00553FC5"/>
    <w:rsid w:val="0057141F"/>
    <w:rsid w:val="00574D38"/>
    <w:rsid w:val="00585350"/>
    <w:rsid w:val="00596003"/>
    <w:rsid w:val="005A02C1"/>
    <w:rsid w:val="005A725F"/>
    <w:rsid w:val="005B2C66"/>
    <w:rsid w:val="005C060C"/>
    <w:rsid w:val="005C3A73"/>
    <w:rsid w:val="005E509D"/>
    <w:rsid w:val="005F3EC1"/>
    <w:rsid w:val="005F446A"/>
    <w:rsid w:val="00605841"/>
    <w:rsid w:val="00606C20"/>
    <w:rsid w:val="0061075E"/>
    <w:rsid w:val="00625118"/>
    <w:rsid w:val="00635F73"/>
    <w:rsid w:val="00640611"/>
    <w:rsid w:val="006531E4"/>
    <w:rsid w:val="0065784A"/>
    <w:rsid w:val="006671DC"/>
    <w:rsid w:val="00672B21"/>
    <w:rsid w:val="00677E01"/>
    <w:rsid w:val="006849EF"/>
    <w:rsid w:val="00696DC8"/>
    <w:rsid w:val="006A3F25"/>
    <w:rsid w:val="006A62E3"/>
    <w:rsid w:val="006B0045"/>
    <w:rsid w:val="006B2ADF"/>
    <w:rsid w:val="006E132D"/>
    <w:rsid w:val="006F7BA4"/>
    <w:rsid w:val="00704312"/>
    <w:rsid w:val="007124C9"/>
    <w:rsid w:val="00715650"/>
    <w:rsid w:val="007365DA"/>
    <w:rsid w:val="0074420E"/>
    <w:rsid w:val="00756786"/>
    <w:rsid w:val="00760AE5"/>
    <w:rsid w:val="007626C5"/>
    <w:rsid w:val="00767E19"/>
    <w:rsid w:val="0077663C"/>
    <w:rsid w:val="00781B36"/>
    <w:rsid w:val="00783300"/>
    <w:rsid w:val="007855E3"/>
    <w:rsid w:val="00785671"/>
    <w:rsid w:val="00790B28"/>
    <w:rsid w:val="00794885"/>
    <w:rsid w:val="007B2B0A"/>
    <w:rsid w:val="007B749C"/>
    <w:rsid w:val="007C072F"/>
    <w:rsid w:val="007C512B"/>
    <w:rsid w:val="007C64DC"/>
    <w:rsid w:val="007C7897"/>
    <w:rsid w:val="007E2AF0"/>
    <w:rsid w:val="007E379E"/>
    <w:rsid w:val="007E7959"/>
    <w:rsid w:val="007F38AC"/>
    <w:rsid w:val="007F40D0"/>
    <w:rsid w:val="007F452D"/>
    <w:rsid w:val="007F7F0F"/>
    <w:rsid w:val="0080083D"/>
    <w:rsid w:val="00812801"/>
    <w:rsid w:val="00816417"/>
    <w:rsid w:val="008179EF"/>
    <w:rsid w:val="00831528"/>
    <w:rsid w:val="00832871"/>
    <w:rsid w:val="00834CA9"/>
    <w:rsid w:val="00844E1D"/>
    <w:rsid w:val="00847901"/>
    <w:rsid w:val="008535E1"/>
    <w:rsid w:val="00870CFC"/>
    <w:rsid w:val="00885118"/>
    <w:rsid w:val="008A0143"/>
    <w:rsid w:val="008A6F02"/>
    <w:rsid w:val="008C6B44"/>
    <w:rsid w:val="008D2C01"/>
    <w:rsid w:val="008F2423"/>
    <w:rsid w:val="008F3357"/>
    <w:rsid w:val="008F71D5"/>
    <w:rsid w:val="00926CCF"/>
    <w:rsid w:val="0093224F"/>
    <w:rsid w:val="00941654"/>
    <w:rsid w:val="00947C54"/>
    <w:rsid w:val="009539C5"/>
    <w:rsid w:val="00961F5F"/>
    <w:rsid w:val="00963EA7"/>
    <w:rsid w:val="00974E0D"/>
    <w:rsid w:val="00975045"/>
    <w:rsid w:val="00975EB3"/>
    <w:rsid w:val="009966CE"/>
    <w:rsid w:val="009A6FF8"/>
    <w:rsid w:val="009C2C70"/>
    <w:rsid w:val="009C44E0"/>
    <w:rsid w:val="009D004F"/>
    <w:rsid w:val="009D079C"/>
    <w:rsid w:val="009E1F86"/>
    <w:rsid w:val="009F1056"/>
    <w:rsid w:val="009F7DE0"/>
    <w:rsid w:val="00A01EF4"/>
    <w:rsid w:val="00A10A22"/>
    <w:rsid w:val="00A11D83"/>
    <w:rsid w:val="00A120F6"/>
    <w:rsid w:val="00A15B18"/>
    <w:rsid w:val="00A26840"/>
    <w:rsid w:val="00A32FA8"/>
    <w:rsid w:val="00A33D3C"/>
    <w:rsid w:val="00A55465"/>
    <w:rsid w:val="00A628F2"/>
    <w:rsid w:val="00A64043"/>
    <w:rsid w:val="00A6469C"/>
    <w:rsid w:val="00A66323"/>
    <w:rsid w:val="00A778E3"/>
    <w:rsid w:val="00A91321"/>
    <w:rsid w:val="00A94F46"/>
    <w:rsid w:val="00A96D48"/>
    <w:rsid w:val="00AC1D4E"/>
    <w:rsid w:val="00AC61B1"/>
    <w:rsid w:val="00AD493B"/>
    <w:rsid w:val="00AD4E9A"/>
    <w:rsid w:val="00AE09B5"/>
    <w:rsid w:val="00AF6EEA"/>
    <w:rsid w:val="00B11097"/>
    <w:rsid w:val="00B11B92"/>
    <w:rsid w:val="00B1549A"/>
    <w:rsid w:val="00B16744"/>
    <w:rsid w:val="00B35EC1"/>
    <w:rsid w:val="00B368BE"/>
    <w:rsid w:val="00B51440"/>
    <w:rsid w:val="00B51722"/>
    <w:rsid w:val="00B54EC8"/>
    <w:rsid w:val="00B65443"/>
    <w:rsid w:val="00B65509"/>
    <w:rsid w:val="00B72731"/>
    <w:rsid w:val="00B7724D"/>
    <w:rsid w:val="00B77670"/>
    <w:rsid w:val="00B811CE"/>
    <w:rsid w:val="00B8225A"/>
    <w:rsid w:val="00B84C5A"/>
    <w:rsid w:val="00B94A00"/>
    <w:rsid w:val="00B9651D"/>
    <w:rsid w:val="00BA0520"/>
    <w:rsid w:val="00BA0CB1"/>
    <w:rsid w:val="00BB0A6A"/>
    <w:rsid w:val="00BB2127"/>
    <w:rsid w:val="00BB234F"/>
    <w:rsid w:val="00BB394F"/>
    <w:rsid w:val="00BC0116"/>
    <w:rsid w:val="00BC119D"/>
    <w:rsid w:val="00BC5FE9"/>
    <w:rsid w:val="00BC62CD"/>
    <w:rsid w:val="00BC7E49"/>
    <w:rsid w:val="00BD1F12"/>
    <w:rsid w:val="00BD294B"/>
    <w:rsid w:val="00BD4534"/>
    <w:rsid w:val="00BE03FF"/>
    <w:rsid w:val="00BE3F55"/>
    <w:rsid w:val="00BE4F8D"/>
    <w:rsid w:val="00BF3BD4"/>
    <w:rsid w:val="00BF6DF2"/>
    <w:rsid w:val="00C17546"/>
    <w:rsid w:val="00C26AFA"/>
    <w:rsid w:val="00C303B2"/>
    <w:rsid w:val="00C30889"/>
    <w:rsid w:val="00C37C70"/>
    <w:rsid w:val="00C42D54"/>
    <w:rsid w:val="00C646B3"/>
    <w:rsid w:val="00C74CD1"/>
    <w:rsid w:val="00C8043F"/>
    <w:rsid w:val="00C855A8"/>
    <w:rsid w:val="00C85F06"/>
    <w:rsid w:val="00C8759D"/>
    <w:rsid w:val="00C96571"/>
    <w:rsid w:val="00C97E40"/>
    <w:rsid w:val="00CB557B"/>
    <w:rsid w:val="00CC269C"/>
    <w:rsid w:val="00CC41C0"/>
    <w:rsid w:val="00CC663D"/>
    <w:rsid w:val="00CD274D"/>
    <w:rsid w:val="00CD4985"/>
    <w:rsid w:val="00CE08F0"/>
    <w:rsid w:val="00CE2AE6"/>
    <w:rsid w:val="00CF0D95"/>
    <w:rsid w:val="00D10429"/>
    <w:rsid w:val="00D171B9"/>
    <w:rsid w:val="00D30170"/>
    <w:rsid w:val="00D3600A"/>
    <w:rsid w:val="00D420FC"/>
    <w:rsid w:val="00D55C54"/>
    <w:rsid w:val="00D57781"/>
    <w:rsid w:val="00D57B31"/>
    <w:rsid w:val="00D6146D"/>
    <w:rsid w:val="00D72C63"/>
    <w:rsid w:val="00D776EE"/>
    <w:rsid w:val="00D820B0"/>
    <w:rsid w:val="00D9169C"/>
    <w:rsid w:val="00D936BC"/>
    <w:rsid w:val="00DA531F"/>
    <w:rsid w:val="00DA6FE3"/>
    <w:rsid w:val="00DB4595"/>
    <w:rsid w:val="00DC1EB8"/>
    <w:rsid w:val="00DC533F"/>
    <w:rsid w:val="00DC7BA0"/>
    <w:rsid w:val="00DD6441"/>
    <w:rsid w:val="00DE6989"/>
    <w:rsid w:val="00DF4380"/>
    <w:rsid w:val="00E01D54"/>
    <w:rsid w:val="00E15716"/>
    <w:rsid w:val="00E25BE2"/>
    <w:rsid w:val="00E35754"/>
    <w:rsid w:val="00E4361B"/>
    <w:rsid w:val="00E44C7F"/>
    <w:rsid w:val="00E47046"/>
    <w:rsid w:val="00E51812"/>
    <w:rsid w:val="00E734C3"/>
    <w:rsid w:val="00E77A9D"/>
    <w:rsid w:val="00E809B0"/>
    <w:rsid w:val="00E82F85"/>
    <w:rsid w:val="00E90A9D"/>
    <w:rsid w:val="00EB0B09"/>
    <w:rsid w:val="00EC097D"/>
    <w:rsid w:val="00ED0431"/>
    <w:rsid w:val="00ED15E9"/>
    <w:rsid w:val="00EE72E4"/>
    <w:rsid w:val="00EF44AA"/>
    <w:rsid w:val="00EF660A"/>
    <w:rsid w:val="00F13B4B"/>
    <w:rsid w:val="00F145EF"/>
    <w:rsid w:val="00F15AB9"/>
    <w:rsid w:val="00F2193E"/>
    <w:rsid w:val="00F23282"/>
    <w:rsid w:val="00F3264D"/>
    <w:rsid w:val="00F52F48"/>
    <w:rsid w:val="00F53592"/>
    <w:rsid w:val="00F5592C"/>
    <w:rsid w:val="00F82229"/>
    <w:rsid w:val="00F82C98"/>
    <w:rsid w:val="00F85429"/>
    <w:rsid w:val="00F916DC"/>
    <w:rsid w:val="00F9275F"/>
    <w:rsid w:val="00F973B8"/>
    <w:rsid w:val="00FA08F6"/>
    <w:rsid w:val="00FA77CB"/>
    <w:rsid w:val="00FB2EC2"/>
    <w:rsid w:val="00FC18F7"/>
    <w:rsid w:val="00FC4040"/>
    <w:rsid w:val="00FC5AA5"/>
    <w:rsid w:val="00FD05D0"/>
    <w:rsid w:val="00FD7C18"/>
    <w:rsid w:val="00FE6A2C"/>
    <w:rsid w:val="00FE7EF7"/>
    <w:rsid w:val="00FF0C2F"/>
    <w:rsid w:val="00FF7109"/>
    <w:rsid w:val="00FF76E5"/>
    <w:rsid w:val="00FF7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9C1A930-B7C2-4853-A6C2-D60FE144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E0D"/>
    <w:pPr>
      <w:spacing w:after="200" w:line="276" w:lineRule="auto"/>
    </w:pPr>
    <w:rPr>
      <w:rFonts w:cs="Calibri"/>
      <w:lang w:val="es-ES"/>
    </w:rPr>
  </w:style>
  <w:style w:type="paragraph" w:styleId="Ttulo1">
    <w:name w:val="heading 1"/>
    <w:basedOn w:val="Normal"/>
    <w:next w:val="Normal"/>
    <w:link w:val="Ttulo1Car"/>
    <w:uiPriority w:val="99"/>
    <w:qFormat/>
    <w:locked/>
    <w:rsid w:val="006E132D"/>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locked/>
    <w:rsid w:val="00BC62CD"/>
    <w:pPr>
      <w:keepNext/>
      <w:spacing w:before="240" w:after="60"/>
      <w:outlineLvl w:val="1"/>
    </w:pPr>
    <w:rPr>
      <w:rFonts w:ascii="Arial" w:eastAsia="Times New Roman" w:hAnsi="Arial" w:cs="Arial"/>
      <w:b/>
      <w:bCs/>
      <w:i/>
      <w:iCs/>
      <w:sz w:val="28"/>
      <w:szCs w:val="28"/>
    </w:rPr>
  </w:style>
  <w:style w:type="paragraph" w:styleId="Ttulo3">
    <w:name w:val="heading 3"/>
    <w:basedOn w:val="Normal"/>
    <w:link w:val="Ttulo3Car"/>
    <w:uiPriority w:val="99"/>
    <w:qFormat/>
    <w:locked/>
    <w:rsid w:val="0057141F"/>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6">
    <w:name w:val="heading 6"/>
    <w:basedOn w:val="Normal"/>
    <w:next w:val="Normal"/>
    <w:link w:val="Ttulo6Car"/>
    <w:uiPriority w:val="99"/>
    <w:qFormat/>
    <w:locked/>
    <w:rsid w:val="00FC18F7"/>
    <w:pPr>
      <w:spacing w:before="240" w:after="60"/>
      <w:outlineLvl w:val="5"/>
    </w:pPr>
    <w:rPr>
      <w:rFonts w:eastAsia="Times New Roman"/>
      <w:b/>
      <w:bCs/>
    </w:rPr>
  </w:style>
  <w:style w:type="paragraph" w:styleId="Ttulo7">
    <w:name w:val="heading 7"/>
    <w:basedOn w:val="Normal"/>
    <w:next w:val="Normal"/>
    <w:link w:val="Ttulo7Car"/>
    <w:uiPriority w:val="99"/>
    <w:qFormat/>
    <w:locked/>
    <w:rsid w:val="0057141F"/>
    <w:pPr>
      <w:spacing w:before="240" w:after="60"/>
      <w:outlineLvl w:val="6"/>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D1EA9"/>
    <w:rPr>
      <w:rFonts w:ascii="Cambria" w:hAnsi="Cambria" w:cs="Cambria"/>
      <w:b/>
      <w:bCs/>
      <w:kern w:val="32"/>
      <w:sz w:val="32"/>
      <w:szCs w:val="32"/>
      <w:lang w:eastAsia="en-US"/>
    </w:rPr>
  </w:style>
  <w:style w:type="character" w:customStyle="1" w:styleId="Ttulo2Car">
    <w:name w:val="Título 2 Car"/>
    <w:basedOn w:val="Fuentedeprrafopredeter"/>
    <w:link w:val="Ttulo2"/>
    <w:uiPriority w:val="99"/>
    <w:semiHidden/>
    <w:locked/>
    <w:rsid w:val="00BC62CD"/>
    <w:rPr>
      <w:rFonts w:ascii="Arial" w:hAnsi="Arial" w:cs="Arial"/>
      <w:b/>
      <w:bCs/>
      <w:i/>
      <w:iCs/>
      <w:sz w:val="28"/>
      <w:szCs w:val="28"/>
      <w:lang w:val="es-ES" w:eastAsia="en-US"/>
    </w:rPr>
  </w:style>
  <w:style w:type="character" w:customStyle="1" w:styleId="Ttulo3Car">
    <w:name w:val="Título 3 Car"/>
    <w:basedOn w:val="Fuentedeprrafopredeter"/>
    <w:link w:val="Ttulo3"/>
    <w:uiPriority w:val="99"/>
    <w:locked/>
    <w:rsid w:val="0057141F"/>
    <w:rPr>
      <w:rFonts w:eastAsia="Times New Roman"/>
      <w:b/>
      <w:bCs/>
      <w:sz w:val="27"/>
      <w:szCs w:val="27"/>
      <w:lang w:val="es-ES" w:eastAsia="es-ES"/>
    </w:rPr>
  </w:style>
  <w:style w:type="character" w:customStyle="1" w:styleId="Ttulo6Car">
    <w:name w:val="Título 6 Car"/>
    <w:basedOn w:val="Fuentedeprrafopredeter"/>
    <w:link w:val="Ttulo6"/>
    <w:uiPriority w:val="99"/>
    <w:semiHidden/>
    <w:locked/>
    <w:rsid w:val="00FC18F7"/>
    <w:rPr>
      <w:rFonts w:ascii="Calibri" w:hAnsi="Calibri" w:cs="Calibri"/>
      <w:b/>
      <w:bCs/>
      <w:lang w:eastAsia="en-US"/>
    </w:rPr>
  </w:style>
  <w:style w:type="character" w:customStyle="1" w:styleId="Ttulo7Car">
    <w:name w:val="Título 7 Car"/>
    <w:basedOn w:val="Fuentedeprrafopredeter"/>
    <w:link w:val="Ttulo7"/>
    <w:uiPriority w:val="99"/>
    <w:semiHidden/>
    <w:locked/>
    <w:rsid w:val="0057141F"/>
    <w:rPr>
      <w:rFonts w:eastAsia="Times New Roman"/>
      <w:sz w:val="24"/>
      <w:szCs w:val="24"/>
      <w:lang w:val="es-ES" w:eastAsia="en-US"/>
    </w:rPr>
  </w:style>
  <w:style w:type="paragraph" w:styleId="Prrafodelista">
    <w:name w:val="List Paragraph"/>
    <w:basedOn w:val="Normal"/>
    <w:uiPriority w:val="99"/>
    <w:qFormat/>
    <w:rsid w:val="00974E0D"/>
    <w:pPr>
      <w:ind w:left="720"/>
    </w:pPr>
  </w:style>
  <w:style w:type="paragraph" w:styleId="Puesto">
    <w:name w:val="Title"/>
    <w:basedOn w:val="Normal"/>
    <w:link w:val="PuestoCar"/>
    <w:uiPriority w:val="99"/>
    <w:qFormat/>
    <w:rsid w:val="0012747A"/>
    <w:pPr>
      <w:spacing w:after="0" w:line="240" w:lineRule="auto"/>
      <w:jc w:val="center"/>
    </w:pPr>
    <w:rPr>
      <w:b/>
      <w:bCs/>
      <w:sz w:val="24"/>
      <w:szCs w:val="24"/>
      <w:lang w:eastAsia="es-ES"/>
    </w:rPr>
  </w:style>
  <w:style w:type="character" w:customStyle="1" w:styleId="PuestoCar">
    <w:name w:val="Puesto Car"/>
    <w:basedOn w:val="Fuentedeprrafopredeter"/>
    <w:link w:val="Puesto"/>
    <w:uiPriority w:val="99"/>
    <w:locked/>
    <w:rsid w:val="0012747A"/>
    <w:rPr>
      <w:rFonts w:ascii="Calibri" w:hAnsi="Calibri" w:cs="Calibri"/>
      <w:b/>
      <w:bCs/>
      <w:sz w:val="20"/>
      <w:szCs w:val="20"/>
      <w:lang w:eastAsia="es-ES"/>
    </w:rPr>
  </w:style>
  <w:style w:type="paragraph" w:customStyle="1" w:styleId="Prrafodelista1">
    <w:name w:val="Párrafo de lista1"/>
    <w:basedOn w:val="Normal"/>
    <w:uiPriority w:val="99"/>
    <w:rsid w:val="0043039A"/>
    <w:pPr>
      <w:ind w:left="720"/>
    </w:pPr>
    <w:rPr>
      <w:rFonts w:eastAsia="Times New Roman"/>
    </w:rPr>
  </w:style>
  <w:style w:type="character" w:styleId="Hipervnculo">
    <w:name w:val="Hyperlink"/>
    <w:basedOn w:val="Fuentedeprrafopredeter"/>
    <w:uiPriority w:val="99"/>
    <w:semiHidden/>
    <w:rsid w:val="0053662D"/>
    <w:rPr>
      <w:color w:val="0000FF"/>
      <w:u w:val="single"/>
    </w:rPr>
  </w:style>
  <w:style w:type="character" w:customStyle="1" w:styleId="TitleChar1">
    <w:name w:val="Title Char1"/>
    <w:uiPriority w:val="99"/>
    <w:locked/>
    <w:rsid w:val="0053662D"/>
    <w:rPr>
      <w:b/>
      <w:bCs/>
      <w:sz w:val="24"/>
      <w:szCs w:val="24"/>
      <w:lang w:val="es-ES" w:eastAsia="es-ES"/>
    </w:rPr>
  </w:style>
  <w:style w:type="paragraph" w:styleId="Textoindependiente">
    <w:name w:val="Body Text"/>
    <w:basedOn w:val="Normal"/>
    <w:link w:val="TextoindependienteCar"/>
    <w:uiPriority w:val="99"/>
    <w:semiHidden/>
    <w:rsid w:val="0053662D"/>
    <w:pPr>
      <w:spacing w:after="0" w:line="240" w:lineRule="auto"/>
      <w:jc w:val="both"/>
    </w:pPr>
    <w:rPr>
      <w:sz w:val="24"/>
      <w:szCs w:val="24"/>
      <w:lang w:eastAsia="es-ES"/>
    </w:rPr>
  </w:style>
  <w:style w:type="character" w:customStyle="1" w:styleId="BodyTextChar">
    <w:name w:val="Body Text Char"/>
    <w:basedOn w:val="Fuentedeprrafopredeter"/>
    <w:uiPriority w:val="99"/>
    <w:semiHidden/>
    <w:locked/>
    <w:rsid w:val="00EC097D"/>
    <w:rPr>
      <w:lang w:eastAsia="en-US"/>
    </w:rPr>
  </w:style>
  <w:style w:type="character" w:customStyle="1" w:styleId="TextoindependienteCar">
    <w:name w:val="Texto independiente Car"/>
    <w:link w:val="Textoindependiente"/>
    <w:uiPriority w:val="99"/>
    <w:semiHidden/>
    <w:locked/>
    <w:rsid w:val="0053662D"/>
    <w:rPr>
      <w:rFonts w:ascii="Calibri" w:hAnsi="Calibri" w:cs="Calibri"/>
      <w:sz w:val="24"/>
      <w:szCs w:val="24"/>
      <w:lang w:val="es-ES" w:eastAsia="es-ES"/>
    </w:rPr>
  </w:style>
  <w:style w:type="paragraph" w:styleId="Textoindependiente2">
    <w:name w:val="Body Text 2"/>
    <w:basedOn w:val="Normal"/>
    <w:link w:val="Textoindependiente2Car"/>
    <w:uiPriority w:val="99"/>
    <w:rsid w:val="0053662D"/>
    <w:pPr>
      <w:spacing w:after="120" w:line="480" w:lineRule="auto"/>
    </w:pPr>
  </w:style>
  <w:style w:type="character" w:customStyle="1" w:styleId="BodyText2Char">
    <w:name w:val="Body Text 2 Char"/>
    <w:basedOn w:val="Fuentedeprrafopredeter"/>
    <w:uiPriority w:val="99"/>
    <w:semiHidden/>
    <w:locked/>
    <w:rsid w:val="00EC097D"/>
    <w:rPr>
      <w:lang w:eastAsia="en-US"/>
    </w:rPr>
  </w:style>
  <w:style w:type="character" w:customStyle="1" w:styleId="Textoindependiente2Car">
    <w:name w:val="Texto independiente 2 Car"/>
    <w:link w:val="Textoindependiente2"/>
    <w:uiPriority w:val="99"/>
    <w:semiHidden/>
    <w:locked/>
    <w:rsid w:val="0053662D"/>
    <w:rPr>
      <w:rFonts w:ascii="Calibri" w:hAnsi="Calibri" w:cs="Calibri"/>
      <w:sz w:val="22"/>
      <w:szCs w:val="22"/>
      <w:lang w:val="es-ES" w:eastAsia="en-US"/>
    </w:rPr>
  </w:style>
  <w:style w:type="paragraph" w:styleId="Sangradetextonormal">
    <w:name w:val="Body Text Indent"/>
    <w:basedOn w:val="Normal"/>
    <w:link w:val="SangradetextonormalCar"/>
    <w:uiPriority w:val="99"/>
    <w:rsid w:val="00BC62CD"/>
    <w:pPr>
      <w:spacing w:after="120"/>
      <w:ind w:left="283"/>
    </w:pPr>
    <w:rPr>
      <w:rFonts w:eastAsia="Times New Roman"/>
    </w:rPr>
  </w:style>
  <w:style w:type="character" w:customStyle="1" w:styleId="SangradetextonormalCar">
    <w:name w:val="Sangría de texto normal Car"/>
    <w:basedOn w:val="Fuentedeprrafopredeter"/>
    <w:link w:val="Sangradetextonormal"/>
    <w:uiPriority w:val="99"/>
    <w:semiHidden/>
    <w:locked/>
    <w:rsid w:val="00BC62CD"/>
    <w:rPr>
      <w:rFonts w:ascii="Calibri" w:hAnsi="Calibri" w:cs="Calibri"/>
      <w:sz w:val="22"/>
      <w:szCs w:val="22"/>
      <w:lang w:val="es-ES" w:eastAsia="en-US"/>
    </w:rPr>
  </w:style>
  <w:style w:type="paragraph" w:customStyle="1" w:styleId="subtitulosinnegrita1">
    <w:name w:val="subtitulosinnegrita1"/>
    <w:basedOn w:val="Normal"/>
    <w:uiPriority w:val="99"/>
    <w:rsid w:val="00783300"/>
    <w:pPr>
      <w:spacing w:before="63" w:after="63" w:line="240" w:lineRule="auto"/>
    </w:pPr>
    <w:rPr>
      <w:color w:val="333333"/>
      <w:sz w:val="26"/>
      <w:szCs w:val="26"/>
      <w:lang w:eastAsia="es-ES"/>
    </w:rPr>
  </w:style>
  <w:style w:type="paragraph" w:customStyle="1" w:styleId="Estilo1">
    <w:name w:val="Estilo1"/>
    <w:basedOn w:val="Normal"/>
    <w:uiPriority w:val="99"/>
    <w:rsid w:val="00F53592"/>
    <w:pPr>
      <w:spacing w:after="0" w:line="240" w:lineRule="auto"/>
      <w:jc w:val="both"/>
    </w:pPr>
    <w:rPr>
      <w:rFonts w:ascii="Times New Roman" w:eastAsia="Times New Roman" w:hAnsi="Times New Roman" w:cs="Times New Roman"/>
      <w:b/>
      <w:bCs/>
      <w:sz w:val="24"/>
      <w:szCs w:val="24"/>
      <w:lang w:eastAsia="es-ES"/>
    </w:rPr>
  </w:style>
  <w:style w:type="paragraph" w:styleId="Textonotapie">
    <w:name w:val="footnote text"/>
    <w:basedOn w:val="Normal"/>
    <w:link w:val="TextonotapieCar"/>
    <w:uiPriority w:val="99"/>
    <w:semiHidden/>
    <w:rsid w:val="00F53592"/>
    <w:pPr>
      <w:spacing w:after="0" w:line="312" w:lineRule="auto"/>
      <w:jc w:val="both"/>
    </w:pPr>
    <w:rPr>
      <w:spacing w:val="8"/>
      <w:sz w:val="20"/>
      <w:szCs w:val="20"/>
    </w:rPr>
  </w:style>
  <w:style w:type="character" w:customStyle="1" w:styleId="FootnoteTextChar">
    <w:name w:val="Footnote Text Char"/>
    <w:basedOn w:val="Fuentedeprrafopredeter"/>
    <w:uiPriority w:val="99"/>
    <w:semiHidden/>
    <w:locked/>
    <w:rsid w:val="002D1EA9"/>
    <w:rPr>
      <w:sz w:val="20"/>
      <w:szCs w:val="20"/>
      <w:lang w:eastAsia="en-US"/>
    </w:rPr>
  </w:style>
  <w:style w:type="character" w:customStyle="1" w:styleId="TextonotapieCar">
    <w:name w:val="Texto nota pie Car"/>
    <w:link w:val="Textonotapie"/>
    <w:uiPriority w:val="99"/>
    <w:semiHidden/>
    <w:locked/>
    <w:rsid w:val="00F53592"/>
    <w:rPr>
      <w:rFonts w:ascii="Calibri" w:hAnsi="Calibri" w:cs="Calibri"/>
      <w:spacing w:val="8"/>
      <w:lang w:val="es-ES" w:eastAsia="en-US"/>
    </w:rPr>
  </w:style>
  <w:style w:type="character" w:styleId="Refdenotaalpie">
    <w:name w:val="footnote reference"/>
    <w:basedOn w:val="Fuentedeprrafopredeter"/>
    <w:uiPriority w:val="99"/>
    <w:semiHidden/>
    <w:rsid w:val="00F53592"/>
    <w:rPr>
      <w:vertAlign w:val="superscript"/>
    </w:rPr>
  </w:style>
  <w:style w:type="paragraph" w:customStyle="1" w:styleId="aut0">
    <w:name w:val="aut0"/>
    <w:basedOn w:val="Normal"/>
    <w:uiPriority w:val="99"/>
    <w:rsid w:val="006E132D"/>
    <w:pPr>
      <w:spacing w:after="0" w:line="240" w:lineRule="auto"/>
    </w:pPr>
    <w:rPr>
      <w:sz w:val="24"/>
      <w:szCs w:val="24"/>
      <w:lang w:eastAsia="es-ES"/>
    </w:rPr>
  </w:style>
  <w:style w:type="paragraph" w:customStyle="1" w:styleId="ctb0">
    <w:name w:val="ctb0"/>
    <w:basedOn w:val="Normal"/>
    <w:uiPriority w:val="99"/>
    <w:rsid w:val="006E132D"/>
    <w:pPr>
      <w:spacing w:after="0" w:line="240" w:lineRule="auto"/>
      <w:jc w:val="both"/>
    </w:pPr>
    <w:rPr>
      <w:rFonts w:ascii="Arial Unicode MS" w:eastAsia="Times New Roman" w:hAnsi="Times New Roman" w:cs="Arial Unicode MS"/>
      <w:sz w:val="24"/>
      <w:szCs w:val="24"/>
      <w:lang w:eastAsia="es-ES"/>
    </w:rPr>
  </w:style>
  <w:style w:type="character" w:customStyle="1" w:styleId="textogeneral">
    <w:name w:val="textogeneral"/>
    <w:basedOn w:val="Fuentedeprrafopredeter"/>
    <w:uiPriority w:val="99"/>
    <w:rsid w:val="006E132D"/>
  </w:style>
  <w:style w:type="paragraph" w:styleId="NormalWeb">
    <w:name w:val="Normal (Web)"/>
    <w:basedOn w:val="Normal"/>
    <w:uiPriority w:val="99"/>
    <w:semiHidden/>
    <w:rsid w:val="00FC18F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rsid w:val="000F37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F37D9"/>
    <w:rPr>
      <w:rFonts w:ascii="Tahoma" w:hAnsi="Tahoma" w:cs="Tahoma"/>
      <w:sz w:val="16"/>
      <w:szCs w:val="16"/>
      <w:lang w:eastAsia="en-US"/>
    </w:rPr>
  </w:style>
  <w:style w:type="character" w:customStyle="1" w:styleId="apple-converted-space">
    <w:name w:val="apple-converted-space"/>
    <w:basedOn w:val="Fuentedeprrafopredeter"/>
    <w:uiPriority w:val="99"/>
    <w:rsid w:val="0057141F"/>
  </w:style>
  <w:style w:type="paragraph" w:styleId="Textonotaalfinal">
    <w:name w:val="endnote text"/>
    <w:basedOn w:val="Normal"/>
    <w:link w:val="TextonotaalfinalCar"/>
    <w:uiPriority w:val="99"/>
    <w:semiHidden/>
    <w:rsid w:val="0057141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locked/>
    <w:rsid w:val="0057141F"/>
    <w:rPr>
      <w:rFonts w:ascii="Calibri" w:hAnsi="Calibri" w:cs="Calibri"/>
      <w:lang w:val="es-ES" w:eastAsia="en-US"/>
    </w:rPr>
  </w:style>
  <w:style w:type="paragraph" w:customStyle="1" w:styleId="creadtibe-intro">
    <w:name w:val="creadtibe-intro"/>
    <w:basedOn w:val="Normal"/>
    <w:uiPriority w:val="99"/>
    <w:rsid w:val="0057141F"/>
    <w:pPr>
      <w:spacing w:before="100" w:beforeAutospacing="1" w:after="100" w:afterAutospacing="1" w:line="240" w:lineRule="auto"/>
    </w:pPr>
    <w:rPr>
      <w:sz w:val="24"/>
      <w:szCs w:val="24"/>
      <w:lang w:eastAsia="es-ES"/>
    </w:rPr>
  </w:style>
  <w:style w:type="character" w:customStyle="1" w:styleId="CarCar10">
    <w:name w:val="Car Car10"/>
    <w:uiPriority w:val="99"/>
    <w:locked/>
    <w:rsid w:val="0057141F"/>
    <w:rPr>
      <w:b/>
      <w:bCs/>
      <w:sz w:val="24"/>
      <w:szCs w:val="24"/>
      <w:lang w:val="es-ES" w:eastAsia="es-ES"/>
    </w:rPr>
  </w:style>
  <w:style w:type="character" w:styleId="Textoennegrita">
    <w:name w:val="Strong"/>
    <w:basedOn w:val="Fuentedeprrafopredeter"/>
    <w:uiPriority w:val="99"/>
    <w:qFormat/>
    <w:locked/>
    <w:rsid w:val="0057141F"/>
    <w:rPr>
      <w:b/>
      <w:bCs/>
    </w:rPr>
  </w:style>
  <w:style w:type="paragraph" w:customStyle="1" w:styleId="Prrafodelista2">
    <w:name w:val="Párrafo de lista2"/>
    <w:basedOn w:val="Normal"/>
    <w:uiPriority w:val="99"/>
    <w:rsid w:val="0057141F"/>
    <w:pPr>
      <w:spacing w:after="0" w:line="240" w:lineRule="auto"/>
      <w:ind w:left="708"/>
    </w:pPr>
    <w:rPr>
      <w:sz w:val="24"/>
      <w:szCs w:val="24"/>
      <w:lang w:eastAsia="es-ES"/>
    </w:rPr>
  </w:style>
  <w:style w:type="paragraph" w:customStyle="1" w:styleId="Default">
    <w:name w:val="Default"/>
    <w:uiPriority w:val="99"/>
    <w:rsid w:val="0057141F"/>
    <w:pPr>
      <w:autoSpaceDE w:val="0"/>
      <w:autoSpaceDN w:val="0"/>
      <w:adjustRightInd w:val="0"/>
    </w:pPr>
    <w:rPr>
      <w:rFonts w:ascii="Arial" w:hAnsi="Arial" w:cs="Arial"/>
      <w:color w:val="000000"/>
      <w:sz w:val="24"/>
      <w:szCs w:val="24"/>
      <w:lang w:val="es-ES" w:eastAsia="es-ES"/>
    </w:rPr>
  </w:style>
  <w:style w:type="paragraph" w:customStyle="1" w:styleId="Prrafodelista3">
    <w:name w:val="Párrafo de lista3"/>
    <w:basedOn w:val="Normal"/>
    <w:uiPriority w:val="99"/>
    <w:rsid w:val="0057141F"/>
    <w:pPr>
      <w:spacing w:after="0" w:line="240" w:lineRule="auto"/>
      <w:ind w:left="708"/>
    </w:pPr>
    <w:rPr>
      <w:sz w:val="24"/>
      <w:szCs w:val="24"/>
      <w:lang w:eastAsia="es-ES"/>
    </w:rPr>
  </w:style>
  <w:style w:type="paragraph" w:customStyle="1" w:styleId="Pa14">
    <w:name w:val="Pa14"/>
    <w:basedOn w:val="Normal"/>
    <w:next w:val="Normal"/>
    <w:uiPriority w:val="99"/>
    <w:rsid w:val="0057141F"/>
    <w:pPr>
      <w:autoSpaceDE w:val="0"/>
      <w:autoSpaceDN w:val="0"/>
      <w:adjustRightInd w:val="0"/>
      <w:spacing w:after="0" w:line="201" w:lineRule="atLeast"/>
    </w:pPr>
    <w:rPr>
      <w:rFonts w:ascii="Arial" w:hAnsi="Arial" w:cs="Arial"/>
      <w:sz w:val="24"/>
      <w:szCs w:val="24"/>
    </w:rPr>
  </w:style>
  <w:style w:type="paragraph" w:customStyle="1" w:styleId="Pa15">
    <w:name w:val="Pa15"/>
    <w:basedOn w:val="Normal"/>
    <w:next w:val="Normal"/>
    <w:uiPriority w:val="99"/>
    <w:rsid w:val="0057141F"/>
    <w:pPr>
      <w:autoSpaceDE w:val="0"/>
      <w:autoSpaceDN w:val="0"/>
      <w:adjustRightInd w:val="0"/>
      <w:spacing w:after="0" w:line="201" w:lineRule="atLeast"/>
    </w:pPr>
    <w:rPr>
      <w:rFonts w:ascii="Arial" w:hAnsi="Arial" w:cs="Arial"/>
      <w:sz w:val="24"/>
      <w:szCs w:val="24"/>
    </w:rPr>
  </w:style>
  <w:style w:type="paragraph" w:customStyle="1" w:styleId="Pa13">
    <w:name w:val="Pa13"/>
    <w:basedOn w:val="Default"/>
    <w:next w:val="Default"/>
    <w:uiPriority w:val="99"/>
    <w:rsid w:val="0057141F"/>
    <w:pPr>
      <w:spacing w:line="201" w:lineRule="atLeast"/>
    </w:pPr>
    <w:rPr>
      <w:color w:val="auto"/>
    </w:rPr>
  </w:style>
  <w:style w:type="paragraph" w:customStyle="1" w:styleId="Pa9">
    <w:name w:val="Pa9"/>
    <w:basedOn w:val="Default"/>
    <w:next w:val="Default"/>
    <w:uiPriority w:val="99"/>
    <w:rsid w:val="0057141F"/>
    <w:pPr>
      <w:spacing w:line="201" w:lineRule="atLeast"/>
    </w:pPr>
    <w:rPr>
      <w:color w:val="auto"/>
    </w:rPr>
  </w:style>
  <w:style w:type="paragraph" w:customStyle="1" w:styleId="Pa31">
    <w:name w:val="Pa31"/>
    <w:basedOn w:val="Default"/>
    <w:next w:val="Default"/>
    <w:uiPriority w:val="99"/>
    <w:rsid w:val="0057141F"/>
    <w:pPr>
      <w:spacing w:line="201" w:lineRule="atLeast"/>
    </w:pPr>
    <w:rPr>
      <w:color w:val="auto"/>
    </w:rPr>
  </w:style>
  <w:style w:type="paragraph" w:styleId="Encabezado">
    <w:name w:val="header"/>
    <w:basedOn w:val="Normal"/>
    <w:link w:val="EncabezadoCar"/>
    <w:uiPriority w:val="99"/>
    <w:unhideWhenUsed/>
    <w:rsid w:val="00B16744"/>
    <w:pPr>
      <w:tabs>
        <w:tab w:val="center" w:pos="4252"/>
        <w:tab w:val="right" w:pos="8504"/>
      </w:tabs>
    </w:pPr>
  </w:style>
  <w:style w:type="character" w:customStyle="1" w:styleId="EncabezadoCar">
    <w:name w:val="Encabezado Car"/>
    <w:basedOn w:val="Fuentedeprrafopredeter"/>
    <w:link w:val="Encabezado"/>
    <w:uiPriority w:val="99"/>
    <w:rsid w:val="00B16744"/>
    <w:rPr>
      <w:rFonts w:cs="Calibri"/>
      <w:lang w:val="es-ES"/>
    </w:rPr>
  </w:style>
  <w:style w:type="paragraph" w:styleId="Piedepgina">
    <w:name w:val="footer"/>
    <w:basedOn w:val="Normal"/>
    <w:link w:val="PiedepginaCar"/>
    <w:uiPriority w:val="99"/>
    <w:unhideWhenUsed/>
    <w:rsid w:val="00B16744"/>
    <w:pPr>
      <w:tabs>
        <w:tab w:val="center" w:pos="4252"/>
        <w:tab w:val="right" w:pos="8504"/>
      </w:tabs>
    </w:pPr>
  </w:style>
  <w:style w:type="character" w:customStyle="1" w:styleId="PiedepginaCar">
    <w:name w:val="Pie de página Car"/>
    <w:basedOn w:val="Fuentedeprrafopredeter"/>
    <w:link w:val="Piedepgina"/>
    <w:uiPriority w:val="99"/>
    <w:rsid w:val="00B16744"/>
    <w:rPr>
      <w:rFonts w:cs="Calibri"/>
      <w:lang w:val="es-ES"/>
    </w:rPr>
  </w:style>
  <w:style w:type="character" w:styleId="Refdenotaalfinal">
    <w:name w:val="endnote reference"/>
    <w:basedOn w:val="Fuentedeprrafopredeter"/>
    <w:uiPriority w:val="99"/>
    <w:semiHidden/>
    <w:unhideWhenUsed/>
    <w:rsid w:val="00BB0A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307681">
      <w:marLeft w:val="0"/>
      <w:marRight w:val="0"/>
      <w:marTop w:val="0"/>
      <w:marBottom w:val="0"/>
      <w:divBdr>
        <w:top w:val="none" w:sz="0" w:space="0" w:color="auto"/>
        <w:left w:val="none" w:sz="0" w:space="0" w:color="auto"/>
        <w:bottom w:val="none" w:sz="0" w:space="0" w:color="auto"/>
        <w:right w:val="none" w:sz="0" w:space="0" w:color="auto"/>
      </w:divBdr>
    </w:div>
    <w:div w:id="1265307682">
      <w:marLeft w:val="0"/>
      <w:marRight w:val="0"/>
      <w:marTop w:val="0"/>
      <w:marBottom w:val="0"/>
      <w:divBdr>
        <w:top w:val="none" w:sz="0" w:space="0" w:color="auto"/>
        <w:left w:val="none" w:sz="0" w:space="0" w:color="auto"/>
        <w:bottom w:val="none" w:sz="0" w:space="0" w:color="auto"/>
        <w:right w:val="none" w:sz="0" w:space="0" w:color="auto"/>
      </w:divBdr>
    </w:div>
    <w:div w:id="1265307683">
      <w:marLeft w:val="0"/>
      <w:marRight w:val="0"/>
      <w:marTop w:val="0"/>
      <w:marBottom w:val="0"/>
      <w:divBdr>
        <w:top w:val="none" w:sz="0" w:space="0" w:color="auto"/>
        <w:left w:val="none" w:sz="0" w:space="0" w:color="auto"/>
        <w:bottom w:val="none" w:sz="0" w:space="0" w:color="auto"/>
        <w:right w:val="none" w:sz="0" w:space="0" w:color="auto"/>
      </w:divBdr>
    </w:div>
    <w:div w:id="1265307684">
      <w:marLeft w:val="0"/>
      <w:marRight w:val="0"/>
      <w:marTop w:val="0"/>
      <w:marBottom w:val="0"/>
      <w:divBdr>
        <w:top w:val="none" w:sz="0" w:space="0" w:color="auto"/>
        <w:left w:val="none" w:sz="0" w:space="0" w:color="auto"/>
        <w:bottom w:val="none" w:sz="0" w:space="0" w:color="auto"/>
        <w:right w:val="none" w:sz="0" w:space="0" w:color="auto"/>
      </w:divBdr>
    </w:div>
    <w:div w:id="1265307685">
      <w:marLeft w:val="0"/>
      <w:marRight w:val="0"/>
      <w:marTop w:val="0"/>
      <w:marBottom w:val="0"/>
      <w:divBdr>
        <w:top w:val="none" w:sz="0" w:space="0" w:color="auto"/>
        <w:left w:val="none" w:sz="0" w:space="0" w:color="auto"/>
        <w:bottom w:val="none" w:sz="0" w:space="0" w:color="auto"/>
        <w:right w:val="none" w:sz="0" w:space="0" w:color="auto"/>
      </w:divBdr>
    </w:div>
    <w:div w:id="12653076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af-regaf.economistas.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C3F2E-9260-4F67-B239-1EF89F36A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2885</Words>
  <Characters>15069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Sumario</vt:lpstr>
    </vt:vector>
  </TitlesOfParts>
  <Company>CONSEJO</Company>
  <LinksUpToDate>false</LinksUpToDate>
  <CharactersWithSpaces>17919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Sumario</dc:title>
  <dc:subject/>
  <dc:creator>ruben</dc:creator>
  <cp:keywords/>
  <dc:description/>
  <cp:lastModifiedBy>LUIS</cp:lastModifiedBy>
  <cp:revision>2</cp:revision>
  <cp:lastPrinted>2015-10-30T09:45:00Z</cp:lastPrinted>
  <dcterms:created xsi:type="dcterms:W3CDTF">2015-10-30T11:58:00Z</dcterms:created>
  <dcterms:modified xsi:type="dcterms:W3CDTF">2015-10-30T11:58:00Z</dcterms:modified>
</cp:coreProperties>
</file>